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B6F" w:rsidRPr="00A14B57" w:rsidRDefault="00BD5B6F" w:rsidP="00BD5B6F">
      <w:pPr>
        <w:keepNext/>
        <w:keepLines/>
        <w:autoSpaceDE w:val="0"/>
        <w:autoSpaceDN w:val="0"/>
        <w:adjustRightInd w:val="0"/>
        <w:spacing w:before="280"/>
        <w:ind w:left="567" w:hanging="567"/>
        <w:jc w:val="center"/>
        <w:rPr>
          <w:b/>
          <w:bCs/>
          <w:color w:val="000000"/>
          <w:sz w:val="36"/>
          <w:szCs w:val="36"/>
          <w:lang w:val="en-US"/>
        </w:rPr>
      </w:pPr>
      <w:r w:rsidRPr="00A14B57">
        <w:rPr>
          <w:b/>
          <w:bCs/>
          <w:color w:val="000000"/>
          <w:sz w:val="36"/>
          <w:szCs w:val="36"/>
          <w:lang w:val="en-US"/>
        </w:rPr>
        <w:t>South Australia</w:t>
      </w:r>
    </w:p>
    <w:p w:rsidR="00BD5B6F" w:rsidRPr="00E875A1" w:rsidRDefault="00BD5B6F" w:rsidP="00D87985">
      <w:pPr>
        <w:keepNext/>
        <w:keepLines/>
        <w:autoSpaceDE w:val="0"/>
        <w:autoSpaceDN w:val="0"/>
        <w:adjustRightInd w:val="0"/>
        <w:ind w:left="567" w:hanging="567"/>
        <w:jc w:val="center"/>
        <w:rPr>
          <w:b/>
          <w:bCs/>
          <w:color w:val="000000"/>
          <w:sz w:val="44"/>
          <w:szCs w:val="44"/>
          <w:lang w:val="en-US"/>
        </w:rPr>
      </w:pPr>
      <w:r w:rsidRPr="00E875A1">
        <w:rPr>
          <w:b/>
          <w:bCs/>
          <w:color w:val="000000"/>
          <w:sz w:val="44"/>
          <w:szCs w:val="44"/>
          <w:lang w:val="en-US"/>
        </w:rPr>
        <w:t xml:space="preserve">Land and Valuation </w:t>
      </w:r>
      <w:r w:rsidR="00E875A1">
        <w:rPr>
          <w:b/>
          <w:bCs/>
          <w:color w:val="000000"/>
          <w:sz w:val="44"/>
          <w:szCs w:val="44"/>
          <w:lang w:val="en-US"/>
        </w:rPr>
        <w:t xml:space="preserve">Division </w:t>
      </w:r>
      <w:r w:rsidR="00606283">
        <w:rPr>
          <w:b/>
          <w:bCs/>
          <w:color w:val="000000"/>
          <w:sz w:val="44"/>
          <w:szCs w:val="44"/>
          <w:lang w:val="en-US"/>
        </w:rPr>
        <w:t>Supplementary Rules</w:t>
      </w:r>
      <w:r w:rsidRPr="00E875A1">
        <w:rPr>
          <w:b/>
          <w:bCs/>
          <w:color w:val="000000"/>
          <w:sz w:val="44"/>
          <w:szCs w:val="44"/>
          <w:lang w:val="en-US"/>
        </w:rPr>
        <w:t xml:space="preserve"> 2014</w:t>
      </w:r>
    </w:p>
    <w:p w:rsidR="00D87985" w:rsidRDefault="00D87985" w:rsidP="00CB174E">
      <w:pPr>
        <w:keepLines/>
        <w:autoSpaceDE w:val="0"/>
        <w:autoSpaceDN w:val="0"/>
        <w:adjustRightInd w:val="0"/>
        <w:spacing w:before="120"/>
        <w:rPr>
          <w:b/>
          <w:bCs/>
        </w:rPr>
      </w:pPr>
    </w:p>
    <w:p w:rsidR="00D87985" w:rsidRDefault="00D87985" w:rsidP="00D87985">
      <w:pPr>
        <w:pStyle w:val="IndentedPara"/>
        <w:ind w:left="0"/>
        <w:rPr>
          <w:lang w:val="en-AU"/>
        </w:rPr>
      </w:pPr>
      <w:r>
        <w:rPr>
          <w:rFonts w:ascii="Times New Roman Bold" w:hAnsi="Times New Roman Bold"/>
          <w:b/>
          <w:bCs/>
          <w:sz w:val="24"/>
        </w:rPr>
        <w:t xml:space="preserve">The Land and Valuation Division </w:t>
      </w:r>
      <w:r w:rsidRPr="00822177">
        <w:rPr>
          <w:rFonts w:ascii="Times New Roman Bold" w:hAnsi="Times New Roman Bold"/>
          <w:b/>
          <w:bCs/>
          <w:sz w:val="24"/>
        </w:rPr>
        <w:t xml:space="preserve">Supplementary Rules 2014, dated </w:t>
      </w:r>
      <w:r>
        <w:rPr>
          <w:rFonts w:ascii="Times New Roman Bold" w:hAnsi="Times New Roman Bold"/>
          <w:b/>
          <w:bCs/>
          <w:sz w:val="24"/>
        </w:rPr>
        <w:t>1st September 2014 that came</w:t>
      </w:r>
      <w:r w:rsidRPr="00822177">
        <w:rPr>
          <w:rFonts w:ascii="Times New Roman Bold" w:hAnsi="Times New Roman Bold"/>
          <w:b/>
          <w:bCs/>
          <w:sz w:val="24"/>
        </w:rPr>
        <w:t xml:space="preserve"> into operation on 1st October 2014 (</w:t>
      </w:r>
      <w:r w:rsidRPr="00D87985">
        <w:rPr>
          <w:rFonts w:ascii="Times New Roman Bold" w:hAnsi="Times New Roman Bold"/>
          <w:b/>
          <w:bCs/>
          <w:i/>
          <w:sz w:val="24"/>
        </w:rPr>
        <w:t>Government Gazette</w:t>
      </w:r>
      <w:r w:rsidRPr="00822177">
        <w:rPr>
          <w:rFonts w:ascii="Times New Roman Bold" w:hAnsi="Times New Roman Bold"/>
          <w:b/>
          <w:bCs/>
          <w:sz w:val="24"/>
        </w:rPr>
        <w:t xml:space="preserve"> 11 September 2014</w:t>
      </w:r>
      <w:r>
        <w:rPr>
          <w:rFonts w:ascii="Times New Roman Bold" w:hAnsi="Times New Roman Bold"/>
          <w:b/>
          <w:bCs/>
          <w:sz w:val="24"/>
        </w:rPr>
        <w:t>, p. 4391</w:t>
      </w:r>
      <w:r w:rsidRPr="00822177">
        <w:rPr>
          <w:rFonts w:ascii="Times New Roman Bold" w:hAnsi="Times New Roman Bold"/>
          <w:b/>
          <w:bCs/>
          <w:sz w:val="24"/>
        </w:rPr>
        <w:t>)</w:t>
      </w:r>
      <w:r>
        <w:rPr>
          <w:rFonts w:ascii="Times New Roman Bold" w:hAnsi="Times New Roman Bold"/>
          <w:b/>
          <w:bCs/>
          <w:sz w:val="24"/>
        </w:rPr>
        <w:t xml:space="preserve"> have been varied by Supreme Court rules dated: </w:t>
      </w:r>
    </w:p>
    <w:tbl>
      <w:tblPr>
        <w:tblW w:w="0" w:type="auto"/>
        <w:tblLayout w:type="fixed"/>
        <w:tblLook w:val="04A0" w:firstRow="1" w:lastRow="0" w:firstColumn="1" w:lastColumn="0" w:noHBand="0" w:noVBand="1"/>
      </w:tblPr>
      <w:tblGrid>
        <w:gridCol w:w="675"/>
        <w:gridCol w:w="2552"/>
        <w:gridCol w:w="3006"/>
        <w:gridCol w:w="3006"/>
      </w:tblGrid>
      <w:tr w:rsidR="00D87985" w:rsidRPr="006B40CA" w:rsidTr="00393833">
        <w:tc>
          <w:tcPr>
            <w:tcW w:w="675" w:type="dxa"/>
          </w:tcPr>
          <w:p w:rsidR="00D87985" w:rsidRPr="006B40CA" w:rsidRDefault="00D87985" w:rsidP="00393833">
            <w:pPr>
              <w:tabs>
                <w:tab w:val="left" w:pos="3119"/>
                <w:tab w:val="left" w:pos="6237"/>
              </w:tabs>
              <w:suppressAutoHyphens/>
              <w:spacing w:after="60" w:line="240" w:lineRule="exact"/>
              <w:rPr>
                <w:spacing w:val="-2"/>
              </w:rPr>
            </w:pPr>
          </w:p>
        </w:tc>
        <w:tc>
          <w:tcPr>
            <w:tcW w:w="2552" w:type="dxa"/>
          </w:tcPr>
          <w:p w:rsidR="00D87985" w:rsidRPr="006B40CA" w:rsidRDefault="00D87985" w:rsidP="00393833">
            <w:pPr>
              <w:tabs>
                <w:tab w:val="left" w:pos="3119"/>
                <w:tab w:val="left" w:pos="6237"/>
              </w:tabs>
              <w:suppressAutoHyphens/>
              <w:spacing w:after="60" w:line="240" w:lineRule="exact"/>
              <w:rPr>
                <w:i/>
                <w:iCs/>
                <w:spacing w:val="-2"/>
              </w:rPr>
            </w:pPr>
          </w:p>
        </w:tc>
        <w:tc>
          <w:tcPr>
            <w:tcW w:w="3006" w:type="dxa"/>
            <w:hideMark/>
          </w:tcPr>
          <w:p w:rsidR="00D87985" w:rsidRPr="006B40CA" w:rsidRDefault="00D87985" w:rsidP="00393833">
            <w:pPr>
              <w:tabs>
                <w:tab w:val="left" w:pos="3119"/>
                <w:tab w:val="left" w:pos="6237"/>
              </w:tabs>
              <w:suppressAutoHyphens/>
              <w:spacing w:after="60" w:line="240" w:lineRule="exact"/>
              <w:rPr>
                <w:i/>
                <w:iCs/>
                <w:spacing w:val="-2"/>
              </w:rPr>
            </w:pPr>
            <w:r w:rsidRPr="006B40CA">
              <w:rPr>
                <w:i/>
                <w:iCs/>
                <w:spacing w:val="-2"/>
              </w:rPr>
              <w:t>Gazette</w:t>
            </w:r>
          </w:p>
        </w:tc>
        <w:tc>
          <w:tcPr>
            <w:tcW w:w="3006" w:type="dxa"/>
            <w:hideMark/>
          </w:tcPr>
          <w:p w:rsidR="00D87985" w:rsidRPr="006B40CA" w:rsidRDefault="00D87985" w:rsidP="00393833">
            <w:pPr>
              <w:tabs>
                <w:tab w:val="left" w:pos="3119"/>
                <w:tab w:val="left" w:pos="6237"/>
              </w:tabs>
              <w:suppressAutoHyphens/>
              <w:spacing w:after="60" w:line="240" w:lineRule="exact"/>
              <w:rPr>
                <w:i/>
                <w:iCs/>
                <w:spacing w:val="-2"/>
              </w:rPr>
            </w:pPr>
            <w:r w:rsidRPr="006B40CA">
              <w:rPr>
                <w:i/>
                <w:iCs/>
                <w:spacing w:val="-2"/>
              </w:rPr>
              <w:t>Date of operation</w:t>
            </w:r>
          </w:p>
        </w:tc>
      </w:tr>
      <w:tr w:rsidR="00D87985" w:rsidRPr="00CE5A9F" w:rsidTr="00393833">
        <w:tc>
          <w:tcPr>
            <w:tcW w:w="675" w:type="dxa"/>
            <w:hideMark/>
          </w:tcPr>
          <w:p w:rsidR="00D87985" w:rsidRPr="00CE5A9F" w:rsidRDefault="00D87985" w:rsidP="00393833">
            <w:pPr>
              <w:tabs>
                <w:tab w:val="left" w:pos="709"/>
                <w:tab w:val="left" w:pos="3119"/>
                <w:tab w:val="left" w:pos="6237"/>
              </w:tabs>
              <w:suppressAutoHyphens/>
              <w:spacing w:after="60" w:line="240" w:lineRule="exact"/>
              <w:rPr>
                <w:b/>
                <w:spacing w:val="-2"/>
              </w:rPr>
            </w:pPr>
            <w:r w:rsidRPr="00CE5A9F">
              <w:rPr>
                <w:b/>
                <w:spacing w:val="-2"/>
              </w:rPr>
              <w:t>#1</w:t>
            </w:r>
          </w:p>
        </w:tc>
        <w:tc>
          <w:tcPr>
            <w:tcW w:w="2552" w:type="dxa"/>
            <w:hideMark/>
          </w:tcPr>
          <w:p w:rsidR="00D87985" w:rsidRPr="00CE5A9F" w:rsidRDefault="00D87985" w:rsidP="00393833">
            <w:pPr>
              <w:tabs>
                <w:tab w:val="left" w:pos="709"/>
                <w:tab w:val="left" w:pos="3119"/>
                <w:tab w:val="left" w:pos="6237"/>
              </w:tabs>
              <w:suppressAutoHyphens/>
              <w:spacing w:after="60" w:line="240" w:lineRule="exact"/>
              <w:rPr>
                <w:b/>
                <w:spacing w:val="-2"/>
              </w:rPr>
            </w:pPr>
            <w:r w:rsidRPr="00CE5A9F">
              <w:rPr>
                <w:b/>
                <w:spacing w:val="-2"/>
              </w:rPr>
              <w:t>25 September 2015</w:t>
            </w:r>
          </w:p>
        </w:tc>
        <w:tc>
          <w:tcPr>
            <w:tcW w:w="3006" w:type="dxa"/>
            <w:hideMark/>
          </w:tcPr>
          <w:p w:rsidR="00D87985" w:rsidRPr="00CE5A9F" w:rsidRDefault="00CE5A9F" w:rsidP="00CE5A9F">
            <w:pPr>
              <w:tabs>
                <w:tab w:val="left" w:pos="709"/>
                <w:tab w:val="left" w:pos="3119"/>
                <w:tab w:val="left" w:pos="6237"/>
              </w:tabs>
              <w:suppressAutoHyphens/>
              <w:spacing w:after="60" w:line="240" w:lineRule="exact"/>
              <w:rPr>
                <w:b/>
                <w:spacing w:val="-2"/>
              </w:rPr>
            </w:pPr>
            <w:r w:rsidRPr="00CE5A9F">
              <w:rPr>
                <w:b/>
                <w:spacing w:val="-2"/>
              </w:rPr>
              <w:t>15 October 2015</w:t>
            </w:r>
            <w:r w:rsidR="00D87985" w:rsidRPr="00CE5A9F">
              <w:rPr>
                <w:b/>
                <w:spacing w:val="-2"/>
              </w:rPr>
              <w:t xml:space="preserve">, p. </w:t>
            </w:r>
            <w:r w:rsidRPr="00CE5A9F">
              <w:rPr>
                <w:b/>
                <w:spacing w:val="-2"/>
              </w:rPr>
              <w:t>4603</w:t>
            </w:r>
          </w:p>
        </w:tc>
        <w:tc>
          <w:tcPr>
            <w:tcW w:w="3006" w:type="dxa"/>
            <w:hideMark/>
          </w:tcPr>
          <w:p w:rsidR="00D87985" w:rsidRPr="00CE5A9F" w:rsidRDefault="00D87985" w:rsidP="00393833">
            <w:pPr>
              <w:tabs>
                <w:tab w:val="left" w:pos="709"/>
                <w:tab w:val="left" w:pos="3119"/>
                <w:tab w:val="left" w:pos="6237"/>
              </w:tabs>
              <w:suppressAutoHyphens/>
              <w:spacing w:after="60" w:line="240" w:lineRule="exact"/>
              <w:rPr>
                <w:b/>
                <w:spacing w:val="-2"/>
              </w:rPr>
            </w:pPr>
            <w:r w:rsidRPr="00CE5A9F">
              <w:rPr>
                <w:b/>
                <w:spacing w:val="-2"/>
              </w:rPr>
              <w:t>1 December 2015</w:t>
            </w:r>
          </w:p>
        </w:tc>
      </w:tr>
      <w:tr w:rsidR="00D87985" w:rsidRPr="005F6903" w:rsidTr="00393833">
        <w:tc>
          <w:tcPr>
            <w:tcW w:w="675" w:type="dxa"/>
          </w:tcPr>
          <w:p w:rsidR="00D87985" w:rsidRPr="005F6903" w:rsidRDefault="00D87985" w:rsidP="00393833">
            <w:pPr>
              <w:tabs>
                <w:tab w:val="left" w:pos="709"/>
                <w:tab w:val="left" w:pos="3119"/>
                <w:tab w:val="left" w:pos="6237"/>
              </w:tabs>
              <w:suppressAutoHyphens/>
              <w:spacing w:after="60" w:line="240" w:lineRule="exact"/>
              <w:rPr>
                <w:spacing w:val="-2"/>
              </w:rPr>
            </w:pPr>
          </w:p>
        </w:tc>
        <w:tc>
          <w:tcPr>
            <w:tcW w:w="2552" w:type="dxa"/>
          </w:tcPr>
          <w:p w:rsidR="00D87985" w:rsidRPr="005F6903" w:rsidRDefault="00D87985" w:rsidP="00393833">
            <w:pPr>
              <w:tabs>
                <w:tab w:val="left" w:pos="709"/>
                <w:tab w:val="left" w:pos="3119"/>
                <w:tab w:val="left" w:pos="6237"/>
              </w:tabs>
              <w:suppressAutoHyphens/>
              <w:spacing w:after="60" w:line="240" w:lineRule="exact"/>
              <w:rPr>
                <w:spacing w:val="-2"/>
              </w:rPr>
            </w:pPr>
          </w:p>
        </w:tc>
        <w:tc>
          <w:tcPr>
            <w:tcW w:w="3006" w:type="dxa"/>
          </w:tcPr>
          <w:p w:rsidR="00D87985" w:rsidRPr="005F6903" w:rsidRDefault="00D87985" w:rsidP="00393833">
            <w:pPr>
              <w:tabs>
                <w:tab w:val="left" w:pos="709"/>
                <w:tab w:val="left" w:pos="3119"/>
                <w:tab w:val="left" w:pos="6237"/>
              </w:tabs>
              <w:suppressAutoHyphens/>
              <w:spacing w:after="60" w:line="240" w:lineRule="exact"/>
              <w:rPr>
                <w:spacing w:val="-2"/>
              </w:rPr>
            </w:pPr>
          </w:p>
        </w:tc>
        <w:tc>
          <w:tcPr>
            <w:tcW w:w="3006" w:type="dxa"/>
          </w:tcPr>
          <w:p w:rsidR="00D87985" w:rsidRPr="005F6903" w:rsidRDefault="00D87985" w:rsidP="00393833">
            <w:pPr>
              <w:tabs>
                <w:tab w:val="left" w:pos="709"/>
                <w:tab w:val="left" w:pos="3119"/>
                <w:tab w:val="left" w:pos="6237"/>
              </w:tabs>
              <w:suppressAutoHyphens/>
              <w:spacing w:after="60" w:line="240" w:lineRule="exact"/>
              <w:rPr>
                <w:spacing w:val="-2"/>
              </w:rPr>
            </w:pPr>
          </w:p>
        </w:tc>
      </w:tr>
      <w:tr w:rsidR="00D87985" w:rsidRPr="006B40CA" w:rsidTr="00393833">
        <w:tc>
          <w:tcPr>
            <w:tcW w:w="675" w:type="dxa"/>
          </w:tcPr>
          <w:p w:rsidR="00D87985" w:rsidRPr="006B40CA" w:rsidRDefault="00D87985" w:rsidP="00393833">
            <w:pPr>
              <w:tabs>
                <w:tab w:val="left" w:pos="709"/>
                <w:tab w:val="left" w:pos="3119"/>
                <w:tab w:val="left" w:pos="6237"/>
              </w:tabs>
              <w:suppressAutoHyphens/>
              <w:spacing w:after="60" w:line="240" w:lineRule="exact"/>
              <w:rPr>
                <w:spacing w:val="-2"/>
              </w:rPr>
            </w:pPr>
          </w:p>
        </w:tc>
        <w:tc>
          <w:tcPr>
            <w:tcW w:w="2552" w:type="dxa"/>
          </w:tcPr>
          <w:p w:rsidR="00D87985" w:rsidRPr="006B40CA" w:rsidRDefault="00D87985" w:rsidP="00393833">
            <w:pPr>
              <w:tabs>
                <w:tab w:val="left" w:pos="709"/>
                <w:tab w:val="left" w:pos="3119"/>
                <w:tab w:val="left" w:pos="6237"/>
              </w:tabs>
              <w:suppressAutoHyphens/>
              <w:spacing w:after="60" w:line="240" w:lineRule="exact"/>
              <w:rPr>
                <w:spacing w:val="-2"/>
              </w:rPr>
            </w:pPr>
          </w:p>
        </w:tc>
        <w:tc>
          <w:tcPr>
            <w:tcW w:w="3006" w:type="dxa"/>
          </w:tcPr>
          <w:p w:rsidR="00D87985" w:rsidRPr="006B40CA" w:rsidRDefault="00D87985" w:rsidP="00393833">
            <w:pPr>
              <w:tabs>
                <w:tab w:val="left" w:pos="709"/>
                <w:tab w:val="left" w:pos="3119"/>
                <w:tab w:val="left" w:pos="6237"/>
              </w:tabs>
              <w:suppressAutoHyphens/>
              <w:spacing w:after="60" w:line="240" w:lineRule="exact"/>
              <w:rPr>
                <w:spacing w:val="-2"/>
              </w:rPr>
            </w:pPr>
          </w:p>
        </w:tc>
        <w:tc>
          <w:tcPr>
            <w:tcW w:w="3006" w:type="dxa"/>
          </w:tcPr>
          <w:p w:rsidR="00D87985" w:rsidRPr="006B40CA" w:rsidRDefault="00D87985" w:rsidP="00393833">
            <w:pPr>
              <w:tabs>
                <w:tab w:val="left" w:pos="709"/>
                <w:tab w:val="left" w:pos="3119"/>
                <w:tab w:val="left" w:pos="6237"/>
              </w:tabs>
              <w:suppressAutoHyphens/>
              <w:spacing w:after="60" w:line="240" w:lineRule="exact"/>
              <w:rPr>
                <w:spacing w:val="-2"/>
              </w:rPr>
            </w:pPr>
          </w:p>
        </w:tc>
      </w:tr>
      <w:tr w:rsidR="00D87985" w:rsidRPr="006B40CA" w:rsidTr="00393833">
        <w:tc>
          <w:tcPr>
            <w:tcW w:w="675" w:type="dxa"/>
          </w:tcPr>
          <w:p w:rsidR="00D87985" w:rsidRPr="006B40CA" w:rsidRDefault="00D87985" w:rsidP="00393833">
            <w:pPr>
              <w:tabs>
                <w:tab w:val="left" w:pos="709"/>
                <w:tab w:val="left" w:pos="3119"/>
                <w:tab w:val="left" w:pos="6237"/>
              </w:tabs>
              <w:suppressAutoHyphens/>
              <w:spacing w:after="60" w:line="240" w:lineRule="exact"/>
              <w:rPr>
                <w:spacing w:val="-2"/>
              </w:rPr>
            </w:pPr>
          </w:p>
        </w:tc>
        <w:tc>
          <w:tcPr>
            <w:tcW w:w="2552" w:type="dxa"/>
          </w:tcPr>
          <w:p w:rsidR="00D87985" w:rsidRPr="006B40CA" w:rsidRDefault="00D87985" w:rsidP="00393833">
            <w:pPr>
              <w:tabs>
                <w:tab w:val="left" w:pos="709"/>
                <w:tab w:val="left" w:pos="3119"/>
                <w:tab w:val="left" w:pos="6237"/>
              </w:tabs>
              <w:suppressAutoHyphens/>
              <w:spacing w:after="60" w:line="240" w:lineRule="exact"/>
              <w:rPr>
                <w:spacing w:val="-2"/>
              </w:rPr>
            </w:pPr>
          </w:p>
        </w:tc>
        <w:tc>
          <w:tcPr>
            <w:tcW w:w="3006" w:type="dxa"/>
          </w:tcPr>
          <w:p w:rsidR="00D87985" w:rsidRPr="006B40CA" w:rsidRDefault="00D87985" w:rsidP="00393833">
            <w:pPr>
              <w:tabs>
                <w:tab w:val="left" w:pos="709"/>
                <w:tab w:val="left" w:pos="3119"/>
                <w:tab w:val="left" w:pos="6237"/>
              </w:tabs>
              <w:suppressAutoHyphens/>
              <w:spacing w:after="60" w:line="240" w:lineRule="exact"/>
              <w:rPr>
                <w:spacing w:val="-2"/>
              </w:rPr>
            </w:pPr>
            <w:bookmarkStart w:id="0" w:name="_GoBack"/>
            <w:bookmarkEnd w:id="0"/>
          </w:p>
        </w:tc>
        <w:tc>
          <w:tcPr>
            <w:tcW w:w="3006" w:type="dxa"/>
          </w:tcPr>
          <w:p w:rsidR="00D87985" w:rsidRPr="006B40CA" w:rsidRDefault="00D87985" w:rsidP="00393833">
            <w:pPr>
              <w:tabs>
                <w:tab w:val="left" w:pos="709"/>
                <w:tab w:val="left" w:pos="3119"/>
                <w:tab w:val="left" w:pos="6237"/>
              </w:tabs>
              <w:suppressAutoHyphens/>
              <w:spacing w:after="60" w:line="240" w:lineRule="exact"/>
              <w:rPr>
                <w:spacing w:val="-2"/>
              </w:rPr>
            </w:pPr>
          </w:p>
        </w:tc>
      </w:tr>
      <w:tr w:rsidR="00D87985" w:rsidRPr="006B40CA" w:rsidTr="00393833">
        <w:tc>
          <w:tcPr>
            <w:tcW w:w="675" w:type="dxa"/>
          </w:tcPr>
          <w:p w:rsidR="00D87985" w:rsidRPr="006B40CA" w:rsidRDefault="00D87985" w:rsidP="00393833">
            <w:pPr>
              <w:tabs>
                <w:tab w:val="left" w:pos="709"/>
                <w:tab w:val="left" w:pos="3119"/>
                <w:tab w:val="left" w:pos="6237"/>
              </w:tabs>
              <w:suppressAutoHyphens/>
              <w:spacing w:after="60" w:line="240" w:lineRule="exact"/>
              <w:rPr>
                <w:spacing w:val="-2"/>
              </w:rPr>
            </w:pPr>
          </w:p>
        </w:tc>
        <w:tc>
          <w:tcPr>
            <w:tcW w:w="2552" w:type="dxa"/>
          </w:tcPr>
          <w:p w:rsidR="00D87985" w:rsidRPr="006B40CA" w:rsidRDefault="00D87985" w:rsidP="00393833">
            <w:pPr>
              <w:tabs>
                <w:tab w:val="left" w:pos="709"/>
                <w:tab w:val="left" w:pos="3119"/>
                <w:tab w:val="left" w:pos="6237"/>
              </w:tabs>
              <w:suppressAutoHyphens/>
              <w:spacing w:after="60" w:line="240" w:lineRule="exact"/>
              <w:rPr>
                <w:spacing w:val="-2"/>
              </w:rPr>
            </w:pPr>
          </w:p>
        </w:tc>
        <w:tc>
          <w:tcPr>
            <w:tcW w:w="3006" w:type="dxa"/>
          </w:tcPr>
          <w:p w:rsidR="00D87985" w:rsidRPr="006B40CA" w:rsidRDefault="00D87985" w:rsidP="00393833">
            <w:pPr>
              <w:tabs>
                <w:tab w:val="left" w:pos="709"/>
                <w:tab w:val="left" w:pos="3119"/>
                <w:tab w:val="left" w:pos="6237"/>
              </w:tabs>
              <w:suppressAutoHyphens/>
              <w:spacing w:after="60" w:line="240" w:lineRule="exact"/>
              <w:rPr>
                <w:spacing w:val="-2"/>
              </w:rPr>
            </w:pPr>
          </w:p>
        </w:tc>
        <w:tc>
          <w:tcPr>
            <w:tcW w:w="3006" w:type="dxa"/>
          </w:tcPr>
          <w:p w:rsidR="00D87985" w:rsidRPr="006B40CA" w:rsidRDefault="00D87985" w:rsidP="00393833">
            <w:pPr>
              <w:tabs>
                <w:tab w:val="left" w:pos="709"/>
                <w:tab w:val="left" w:pos="3119"/>
                <w:tab w:val="left" w:pos="6237"/>
              </w:tabs>
              <w:suppressAutoHyphens/>
              <w:spacing w:after="60" w:line="240" w:lineRule="exact"/>
              <w:rPr>
                <w:spacing w:val="-2"/>
              </w:rPr>
            </w:pPr>
          </w:p>
        </w:tc>
      </w:tr>
      <w:tr w:rsidR="00D87985" w:rsidRPr="006B40CA" w:rsidTr="00393833">
        <w:tc>
          <w:tcPr>
            <w:tcW w:w="675" w:type="dxa"/>
          </w:tcPr>
          <w:p w:rsidR="00D87985" w:rsidRPr="006B40CA" w:rsidRDefault="00D87985" w:rsidP="00393833">
            <w:pPr>
              <w:tabs>
                <w:tab w:val="left" w:pos="709"/>
                <w:tab w:val="left" w:pos="3119"/>
                <w:tab w:val="left" w:pos="6237"/>
              </w:tabs>
              <w:suppressAutoHyphens/>
              <w:spacing w:after="60" w:line="240" w:lineRule="exact"/>
              <w:rPr>
                <w:spacing w:val="-2"/>
              </w:rPr>
            </w:pPr>
          </w:p>
        </w:tc>
        <w:tc>
          <w:tcPr>
            <w:tcW w:w="2552" w:type="dxa"/>
          </w:tcPr>
          <w:p w:rsidR="00D87985" w:rsidRPr="006B40CA" w:rsidRDefault="00D87985" w:rsidP="00393833">
            <w:pPr>
              <w:tabs>
                <w:tab w:val="left" w:pos="709"/>
                <w:tab w:val="left" w:pos="3119"/>
                <w:tab w:val="left" w:pos="6237"/>
              </w:tabs>
              <w:suppressAutoHyphens/>
              <w:spacing w:after="60" w:line="240" w:lineRule="exact"/>
              <w:rPr>
                <w:spacing w:val="-2"/>
              </w:rPr>
            </w:pPr>
          </w:p>
        </w:tc>
        <w:tc>
          <w:tcPr>
            <w:tcW w:w="3006" w:type="dxa"/>
          </w:tcPr>
          <w:p w:rsidR="00D87985" w:rsidRPr="006B40CA" w:rsidRDefault="00D87985" w:rsidP="00393833">
            <w:pPr>
              <w:tabs>
                <w:tab w:val="left" w:pos="709"/>
                <w:tab w:val="left" w:pos="3119"/>
                <w:tab w:val="left" w:pos="6237"/>
              </w:tabs>
              <w:suppressAutoHyphens/>
              <w:spacing w:after="60" w:line="240" w:lineRule="exact"/>
              <w:rPr>
                <w:spacing w:val="-2"/>
              </w:rPr>
            </w:pPr>
          </w:p>
        </w:tc>
        <w:tc>
          <w:tcPr>
            <w:tcW w:w="3006" w:type="dxa"/>
          </w:tcPr>
          <w:p w:rsidR="00D87985" w:rsidRPr="006B40CA" w:rsidRDefault="00D87985" w:rsidP="00393833">
            <w:pPr>
              <w:tabs>
                <w:tab w:val="left" w:pos="709"/>
                <w:tab w:val="left" w:pos="3119"/>
                <w:tab w:val="left" w:pos="6237"/>
              </w:tabs>
              <w:suppressAutoHyphens/>
              <w:spacing w:after="60" w:line="240" w:lineRule="exact"/>
              <w:rPr>
                <w:spacing w:val="-2"/>
              </w:rPr>
            </w:pPr>
          </w:p>
        </w:tc>
      </w:tr>
      <w:tr w:rsidR="00D87985" w:rsidRPr="006B40CA" w:rsidTr="00393833">
        <w:tc>
          <w:tcPr>
            <w:tcW w:w="675" w:type="dxa"/>
          </w:tcPr>
          <w:p w:rsidR="00D87985" w:rsidRPr="006B40CA" w:rsidRDefault="00D87985" w:rsidP="00393833">
            <w:pPr>
              <w:tabs>
                <w:tab w:val="left" w:pos="709"/>
                <w:tab w:val="left" w:pos="3119"/>
                <w:tab w:val="left" w:pos="6237"/>
              </w:tabs>
              <w:suppressAutoHyphens/>
              <w:spacing w:after="60" w:line="240" w:lineRule="exact"/>
              <w:rPr>
                <w:spacing w:val="-2"/>
              </w:rPr>
            </w:pPr>
          </w:p>
        </w:tc>
        <w:tc>
          <w:tcPr>
            <w:tcW w:w="2552" w:type="dxa"/>
          </w:tcPr>
          <w:p w:rsidR="00D87985" w:rsidRPr="006B40CA" w:rsidRDefault="00D87985" w:rsidP="00393833">
            <w:pPr>
              <w:tabs>
                <w:tab w:val="left" w:pos="709"/>
                <w:tab w:val="left" w:pos="3119"/>
                <w:tab w:val="left" w:pos="6237"/>
              </w:tabs>
              <w:suppressAutoHyphens/>
              <w:spacing w:after="60" w:line="240" w:lineRule="exact"/>
              <w:rPr>
                <w:spacing w:val="-2"/>
              </w:rPr>
            </w:pPr>
          </w:p>
        </w:tc>
        <w:tc>
          <w:tcPr>
            <w:tcW w:w="3006" w:type="dxa"/>
          </w:tcPr>
          <w:p w:rsidR="00D87985" w:rsidRPr="006B40CA" w:rsidRDefault="00D87985" w:rsidP="00393833">
            <w:pPr>
              <w:tabs>
                <w:tab w:val="left" w:pos="709"/>
                <w:tab w:val="left" w:pos="3119"/>
                <w:tab w:val="left" w:pos="6237"/>
              </w:tabs>
              <w:suppressAutoHyphens/>
              <w:spacing w:after="60" w:line="240" w:lineRule="exact"/>
              <w:rPr>
                <w:spacing w:val="-2"/>
              </w:rPr>
            </w:pPr>
          </w:p>
        </w:tc>
        <w:tc>
          <w:tcPr>
            <w:tcW w:w="3006" w:type="dxa"/>
          </w:tcPr>
          <w:p w:rsidR="00D87985" w:rsidRPr="006B40CA" w:rsidRDefault="00D87985" w:rsidP="00393833">
            <w:pPr>
              <w:tabs>
                <w:tab w:val="left" w:pos="709"/>
                <w:tab w:val="left" w:pos="3119"/>
                <w:tab w:val="left" w:pos="6237"/>
              </w:tabs>
              <w:suppressAutoHyphens/>
              <w:spacing w:after="60" w:line="240" w:lineRule="exact"/>
              <w:rPr>
                <w:spacing w:val="-2"/>
              </w:rPr>
            </w:pPr>
          </w:p>
        </w:tc>
      </w:tr>
    </w:tbl>
    <w:p w:rsidR="00D87985" w:rsidRDefault="00D87985" w:rsidP="00D87985">
      <w:pPr>
        <w:suppressAutoHyphens/>
        <w:spacing w:line="240" w:lineRule="exact"/>
        <w:rPr>
          <w:spacing w:val="-2"/>
          <w:sz w:val="23"/>
          <w:szCs w:val="23"/>
        </w:rPr>
      </w:pPr>
    </w:p>
    <w:p w:rsidR="00CB174E" w:rsidRDefault="00CB174E" w:rsidP="00CB174E">
      <w:pPr>
        <w:keepLines/>
        <w:autoSpaceDE w:val="0"/>
        <w:autoSpaceDN w:val="0"/>
        <w:adjustRightInd w:val="0"/>
        <w:spacing w:before="120"/>
        <w:rPr>
          <w:b/>
          <w:bCs/>
          <w:i/>
        </w:rPr>
      </w:pPr>
      <w:r>
        <w:rPr>
          <w:b/>
          <w:bCs/>
        </w:rPr>
        <w:t xml:space="preserve">By virtue and in pursuance of Section 62H of the </w:t>
      </w:r>
      <w:r w:rsidRPr="00D87985">
        <w:rPr>
          <w:b/>
          <w:bCs/>
          <w:i/>
        </w:rPr>
        <w:t>Supreme Court Act 1935</w:t>
      </w:r>
      <w:r>
        <w:rPr>
          <w:b/>
          <w:bCs/>
        </w:rPr>
        <w:t xml:space="preserve"> and all other enabling powers, We, The Judges of the Land and Valuation Court being a division of the Supreme Court of South Australia, make the following </w:t>
      </w:r>
      <w:r w:rsidRPr="00134925">
        <w:rPr>
          <w:b/>
          <w:bCs/>
        </w:rPr>
        <w:t xml:space="preserve">Land and Valuation Division </w:t>
      </w:r>
      <w:r>
        <w:rPr>
          <w:b/>
          <w:bCs/>
        </w:rPr>
        <w:t xml:space="preserve">Supplementary </w:t>
      </w:r>
      <w:r w:rsidRPr="00134925">
        <w:rPr>
          <w:b/>
          <w:bCs/>
        </w:rPr>
        <w:t>Rules 2014</w:t>
      </w:r>
      <w:r w:rsidRPr="00632DF6">
        <w:rPr>
          <w:b/>
          <w:bCs/>
          <w:i/>
        </w:rPr>
        <w:t>.</w:t>
      </w:r>
    </w:p>
    <w:p w:rsidR="00FD50A0" w:rsidRDefault="00FD50A0" w:rsidP="00CB174E">
      <w:pPr>
        <w:keepLines/>
        <w:autoSpaceDE w:val="0"/>
        <w:autoSpaceDN w:val="0"/>
        <w:adjustRightInd w:val="0"/>
        <w:spacing w:before="120"/>
        <w:rPr>
          <w:b/>
          <w:bCs/>
          <w:i/>
        </w:rPr>
      </w:pPr>
    </w:p>
    <w:p w:rsidR="00FD50A0" w:rsidRDefault="00FD50A0" w:rsidP="00CB174E">
      <w:pPr>
        <w:keepLines/>
        <w:autoSpaceDE w:val="0"/>
        <w:autoSpaceDN w:val="0"/>
        <w:adjustRightInd w:val="0"/>
        <w:spacing w:before="120"/>
        <w:rPr>
          <w:b/>
          <w:bCs/>
          <w:i/>
        </w:rPr>
      </w:pPr>
    </w:p>
    <w:p w:rsidR="00FD50A0" w:rsidRPr="00FD50A0" w:rsidRDefault="00FD50A0" w:rsidP="00CB174E">
      <w:pPr>
        <w:keepLines/>
        <w:autoSpaceDE w:val="0"/>
        <w:autoSpaceDN w:val="0"/>
        <w:adjustRightInd w:val="0"/>
        <w:spacing w:before="120"/>
        <w:rPr>
          <w:b/>
          <w:bCs/>
        </w:rPr>
      </w:pPr>
    </w:p>
    <w:p w:rsidR="00CB174E" w:rsidRDefault="00CB174E" w:rsidP="00BD5B6F">
      <w:pPr>
        <w:keepNext/>
        <w:keepLines/>
        <w:autoSpaceDE w:val="0"/>
        <w:autoSpaceDN w:val="0"/>
        <w:adjustRightInd w:val="0"/>
        <w:spacing w:before="280"/>
        <w:ind w:left="567" w:hanging="567"/>
        <w:jc w:val="center"/>
        <w:rPr>
          <w:b/>
          <w:bCs/>
          <w:color w:val="000000"/>
          <w:sz w:val="28"/>
          <w:szCs w:val="28"/>
          <w:lang w:val="en-US"/>
        </w:rPr>
      </w:pPr>
    </w:p>
    <w:p w:rsidR="00286083" w:rsidRDefault="00286083" w:rsidP="00BD5B6F">
      <w:pPr>
        <w:keepNext/>
        <w:keepLines/>
        <w:autoSpaceDE w:val="0"/>
        <w:autoSpaceDN w:val="0"/>
        <w:adjustRightInd w:val="0"/>
        <w:spacing w:before="280"/>
        <w:ind w:left="567" w:hanging="567"/>
        <w:jc w:val="center"/>
        <w:rPr>
          <w:b/>
          <w:bCs/>
          <w:color w:val="000000"/>
          <w:sz w:val="28"/>
          <w:szCs w:val="28"/>
          <w:lang w:val="en-US"/>
        </w:rPr>
        <w:sectPr w:rsidR="00286083" w:rsidSect="00761C4F">
          <w:footerReference w:type="default" r:id="rId8"/>
          <w:pgSz w:w="11906" w:h="16838"/>
          <w:pgMar w:top="1440" w:right="1440" w:bottom="1440" w:left="1440" w:header="708" w:footer="708" w:gutter="0"/>
          <w:pgNumType w:fmt="lowerRoman" w:start="1"/>
          <w:cols w:space="708"/>
          <w:titlePg/>
          <w:docGrid w:linePitch="360"/>
        </w:sectPr>
      </w:pPr>
    </w:p>
    <w:p w:rsidR="00AC71DB" w:rsidRPr="0089610F" w:rsidRDefault="00C83E2A" w:rsidP="00FD7119">
      <w:pPr>
        <w:keepNext/>
        <w:keepLines/>
        <w:autoSpaceDE w:val="0"/>
        <w:autoSpaceDN w:val="0"/>
        <w:adjustRightInd w:val="0"/>
        <w:spacing w:before="240" w:after="120"/>
        <w:ind w:left="567" w:hanging="567"/>
        <w:rPr>
          <w:b/>
          <w:bCs/>
          <w:color w:val="000000"/>
          <w:sz w:val="32"/>
          <w:szCs w:val="32"/>
          <w:lang w:val="en-US"/>
        </w:rPr>
      </w:pPr>
      <w:r w:rsidRPr="0089610F">
        <w:rPr>
          <w:b/>
          <w:bCs/>
          <w:color w:val="000000"/>
          <w:sz w:val="32"/>
          <w:szCs w:val="32"/>
          <w:lang w:val="en-US"/>
        </w:rPr>
        <w:lastRenderedPageBreak/>
        <w:t>C</w:t>
      </w:r>
      <w:r w:rsidR="0089610F" w:rsidRPr="0089610F">
        <w:rPr>
          <w:b/>
          <w:bCs/>
          <w:color w:val="000000"/>
          <w:sz w:val="32"/>
          <w:szCs w:val="32"/>
          <w:lang w:val="en-US"/>
        </w:rPr>
        <w:t>ontents</w:t>
      </w:r>
    </w:p>
    <w:p w:rsidR="00B71F00" w:rsidRDefault="00D37CD0">
      <w:pPr>
        <w:pStyle w:val="TOC1"/>
        <w:rPr>
          <w:rFonts w:asciiTheme="minorHAnsi" w:eastAsiaTheme="minorEastAsia" w:hAnsiTheme="minorHAnsi" w:cstheme="minorBidi"/>
          <w:b w:val="0"/>
          <w:noProof/>
          <w:color w:val="auto"/>
          <w:sz w:val="22"/>
          <w:szCs w:val="22"/>
          <w:lang w:val="en-AU" w:eastAsia="en-AU"/>
        </w:rPr>
      </w:pPr>
      <w:r>
        <w:fldChar w:fldCharType="begin"/>
      </w:r>
      <w:r>
        <w:instrText xml:space="preserve"> TOC \n \p " " \h \z \t "clausehead,5,Chapter,1,Part,2,Division,3,SubPart,4" </w:instrText>
      </w:r>
      <w:r>
        <w:fldChar w:fldCharType="separate"/>
      </w:r>
      <w:hyperlink w:anchor="_Toc431389449" w:history="1">
        <w:r w:rsidR="00B71F00" w:rsidRPr="00EE4629">
          <w:rPr>
            <w:rStyle w:val="Hyperlink"/>
            <w:noProof/>
          </w:rPr>
          <w:t>Chapter 1—Preliminary</w:t>
        </w:r>
      </w:hyperlink>
    </w:p>
    <w:p w:rsidR="00B71F00" w:rsidRDefault="00CE5A9F">
      <w:pPr>
        <w:pStyle w:val="TOC2"/>
        <w:tabs>
          <w:tab w:val="right" w:leader="dot" w:pos="9016"/>
        </w:tabs>
        <w:rPr>
          <w:rFonts w:asciiTheme="minorHAnsi" w:eastAsiaTheme="minorEastAsia" w:hAnsiTheme="minorHAnsi" w:cstheme="minorBidi"/>
          <w:bCs w:val="0"/>
          <w:noProof/>
          <w:color w:val="auto"/>
          <w:sz w:val="22"/>
          <w:szCs w:val="22"/>
          <w:lang w:val="en-AU" w:eastAsia="en-AU"/>
        </w:rPr>
      </w:pPr>
      <w:hyperlink w:anchor="_Toc431389450" w:history="1">
        <w:r w:rsidR="00B71F00" w:rsidRPr="00EE4629">
          <w:rPr>
            <w:rStyle w:val="Hyperlink"/>
            <w:noProof/>
          </w:rPr>
          <w:t>Part 1—Formal provisions</w:t>
        </w:r>
      </w:hyperlink>
    </w:p>
    <w:p w:rsidR="00B71F00" w:rsidRDefault="00CE5A9F">
      <w:pPr>
        <w:pStyle w:val="TOC5"/>
        <w:tabs>
          <w:tab w:val="right" w:leader="dot" w:pos="9016"/>
        </w:tabs>
        <w:rPr>
          <w:rFonts w:asciiTheme="minorHAnsi" w:eastAsiaTheme="minorEastAsia" w:hAnsiTheme="minorHAnsi" w:cstheme="minorBidi"/>
          <w:noProof/>
          <w:sz w:val="22"/>
          <w:szCs w:val="22"/>
          <w:lang w:eastAsia="en-AU"/>
        </w:rPr>
      </w:pPr>
      <w:hyperlink w:anchor="_Toc431389451" w:history="1">
        <w:r w:rsidR="00B71F00" w:rsidRPr="00EE4629">
          <w:rPr>
            <w:rStyle w:val="Hyperlink"/>
            <w:noProof/>
          </w:rPr>
          <w:t>1—Citation</w:t>
        </w:r>
      </w:hyperlink>
    </w:p>
    <w:p w:rsidR="00B71F00" w:rsidRDefault="00CE5A9F">
      <w:pPr>
        <w:pStyle w:val="TOC5"/>
        <w:tabs>
          <w:tab w:val="right" w:leader="dot" w:pos="9016"/>
        </w:tabs>
        <w:rPr>
          <w:rFonts w:asciiTheme="minorHAnsi" w:eastAsiaTheme="minorEastAsia" w:hAnsiTheme="minorHAnsi" w:cstheme="minorBidi"/>
          <w:noProof/>
          <w:sz w:val="22"/>
          <w:szCs w:val="22"/>
          <w:lang w:eastAsia="en-AU"/>
        </w:rPr>
      </w:pPr>
      <w:hyperlink w:anchor="_Toc431389452" w:history="1">
        <w:r w:rsidR="00B71F00" w:rsidRPr="00EE4629">
          <w:rPr>
            <w:rStyle w:val="Hyperlink"/>
            <w:noProof/>
          </w:rPr>
          <w:t>2—Commencement</w:t>
        </w:r>
      </w:hyperlink>
    </w:p>
    <w:p w:rsidR="00B71F00" w:rsidRDefault="00CE5A9F">
      <w:pPr>
        <w:pStyle w:val="TOC2"/>
        <w:tabs>
          <w:tab w:val="right" w:leader="dot" w:pos="9016"/>
        </w:tabs>
        <w:rPr>
          <w:rFonts w:asciiTheme="minorHAnsi" w:eastAsiaTheme="minorEastAsia" w:hAnsiTheme="minorHAnsi" w:cstheme="minorBidi"/>
          <w:bCs w:val="0"/>
          <w:noProof/>
          <w:color w:val="auto"/>
          <w:sz w:val="22"/>
          <w:szCs w:val="22"/>
          <w:lang w:val="en-AU" w:eastAsia="en-AU"/>
        </w:rPr>
      </w:pPr>
      <w:hyperlink w:anchor="_Toc431389453" w:history="1">
        <w:r w:rsidR="00B71F00" w:rsidRPr="00EE4629">
          <w:rPr>
            <w:rStyle w:val="Hyperlink"/>
            <w:noProof/>
          </w:rPr>
          <w:t>Part 2—Objects</w:t>
        </w:r>
      </w:hyperlink>
    </w:p>
    <w:p w:rsidR="00B71F00" w:rsidRDefault="00CE5A9F">
      <w:pPr>
        <w:pStyle w:val="TOC5"/>
        <w:tabs>
          <w:tab w:val="right" w:leader="dot" w:pos="9016"/>
        </w:tabs>
        <w:rPr>
          <w:rFonts w:asciiTheme="minorHAnsi" w:eastAsiaTheme="minorEastAsia" w:hAnsiTheme="minorHAnsi" w:cstheme="minorBidi"/>
          <w:noProof/>
          <w:sz w:val="22"/>
          <w:szCs w:val="22"/>
          <w:lang w:eastAsia="en-AU"/>
        </w:rPr>
      </w:pPr>
      <w:hyperlink w:anchor="_Toc431389454" w:history="1">
        <w:r w:rsidR="00B71F00" w:rsidRPr="00EE4629">
          <w:rPr>
            <w:rStyle w:val="Hyperlink"/>
            <w:noProof/>
          </w:rPr>
          <w:t>3—Objects</w:t>
        </w:r>
      </w:hyperlink>
    </w:p>
    <w:p w:rsidR="00B71F00" w:rsidRDefault="00CE5A9F">
      <w:pPr>
        <w:pStyle w:val="TOC2"/>
        <w:tabs>
          <w:tab w:val="right" w:leader="dot" w:pos="9016"/>
        </w:tabs>
        <w:rPr>
          <w:rFonts w:asciiTheme="minorHAnsi" w:eastAsiaTheme="minorEastAsia" w:hAnsiTheme="minorHAnsi" w:cstheme="minorBidi"/>
          <w:bCs w:val="0"/>
          <w:noProof/>
          <w:color w:val="auto"/>
          <w:sz w:val="22"/>
          <w:szCs w:val="22"/>
          <w:lang w:val="en-AU" w:eastAsia="en-AU"/>
        </w:rPr>
      </w:pPr>
      <w:hyperlink w:anchor="_Toc431389455" w:history="1">
        <w:r w:rsidR="00B71F00" w:rsidRPr="00EE4629">
          <w:rPr>
            <w:rStyle w:val="Hyperlink"/>
            <w:noProof/>
          </w:rPr>
          <w:t>Part 3—Interpretation</w:t>
        </w:r>
      </w:hyperlink>
    </w:p>
    <w:p w:rsidR="00B71F00" w:rsidRDefault="00CE5A9F">
      <w:pPr>
        <w:pStyle w:val="TOC5"/>
        <w:tabs>
          <w:tab w:val="right" w:leader="dot" w:pos="9016"/>
        </w:tabs>
        <w:rPr>
          <w:rFonts w:asciiTheme="minorHAnsi" w:eastAsiaTheme="minorEastAsia" w:hAnsiTheme="minorHAnsi" w:cstheme="minorBidi"/>
          <w:noProof/>
          <w:sz w:val="22"/>
          <w:szCs w:val="22"/>
          <w:lang w:eastAsia="en-AU"/>
        </w:rPr>
      </w:pPr>
      <w:hyperlink w:anchor="_Toc431389456" w:history="1">
        <w:r w:rsidR="00B71F00" w:rsidRPr="00EE4629">
          <w:rPr>
            <w:rStyle w:val="Hyperlink"/>
            <w:noProof/>
          </w:rPr>
          <w:t>4—Interpretation</w:t>
        </w:r>
      </w:hyperlink>
    </w:p>
    <w:p w:rsidR="00B71F00" w:rsidRDefault="00CE5A9F">
      <w:pPr>
        <w:pStyle w:val="TOC2"/>
        <w:tabs>
          <w:tab w:val="right" w:leader="dot" w:pos="9016"/>
        </w:tabs>
        <w:rPr>
          <w:rFonts w:asciiTheme="minorHAnsi" w:eastAsiaTheme="minorEastAsia" w:hAnsiTheme="minorHAnsi" w:cstheme="minorBidi"/>
          <w:bCs w:val="0"/>
          <w:noProof/>
          <w:color w:val="auto"/>
          <w:sz w:val="22"/>
          <w:szCs w:val="22"/>
          <w:lang w:val="en-AU" w:eastAsia="en-AU"/>
        </w:rPr>
      </w:pPr>
      <w:hyperlink w:anchor="_Toc431389457" w:history="1">
        <w:r w:rsidR="00B71F00" w:rsidRPr="00EE4629">
          <w:rPr>
            <w:rStyle w:val="Hyperlink"/>
            <w:noProof/>
          </w:rPr>
          <w:t>Part 4—Application of Supplementary Rules</w:t>
        </w:r>
      </w:hyperlink>
    </w:p>
    <w:p w:rsidR="00B71F00" w:rsidRDefault="00CE5A9F">
      <w:pPr>
        <w:pStyle w:val="TOC5"/>
        <w:tabs>
          <w:tab w:val="right" w:leader="dot" w:pos="9016"/>
        </w:tabs>
        <w:rPr>
          <w:rFonts w:asciiTheme="minorHAnsi" w:eastAsiaTheme="minorEastAsia" w:hAnsiTheme="minorHAnsi" w:cstheme="minorBidi"/>
          <w:noProof/>
          <w:sz w:val="22"/>
          <w:szCs w:val="22"/>
          <w:lang w:eastAsia="en-AU"/>
        </w:rPr>
      </w:pPr>
      <w:hyperlink w:anchor="_Toc431389458" w:history="1">
        <w:r w:rsidR="00B71F00" w:rsidRPr="00EE4629">
          <w:rPr>
            <w:rStyle w:val="Hyperlink"/>
            <w:noProof/>
          </w:rPr>
          <w:t>5—Application of Supplementary Rules</w:t>
        </w:r>
      </w:hyperlink>
    </w:p>
    <w:p w:rsidR="00B71F00" w:rsidRDefault="00CE5A9F">
      <w:pPr>
        <w:pStyle w:val="TOC2"/>
        <w:tabs>
          <w:tab w:val="right" w:leader="dot" w:pos="9016"/>
        </w:tabs>
        <w:rPr>
          <w:rFonts w:asciiTheme="minorHAnsi" w:eastAsiaTheme="minorEastAsia" w:hAnsiTheme="minorHAnsi" w:cstheme="minorBidi"/>
          <w:bCs w:val="0"/>
          <w:noProof/>
          <w:color w:val="auto"/>
          <w:sz w:val="22"/>
          <w:szCs w:val="22"/>
          <w:lang w:val="en-AU" w:eastAsia="en-AU"/>
        </w:rPr>
      </w:pPr>
      <w:hyperlink w:anchor="_Toc431389459" w:history="1">
        <w:r w:rsidR="00B71F00" w:rsidRPr="00EE4629">
          <w:rPr>
            <w:rStyle w:val="Hyperlink"/>
            <w:noProof/>
          </w:rPr>
          <w:t>Part 5—Repeal and transitional provisions</w:t>
        </w:r>
      </w:hyperlink>
    </w:p>
    <w:p w:rsidR="00B71F00" w:rsidRDefault="00CE5A9F">
      <w:pPr>
        <w:pStyle w:val="TOC5"/>
        <w:tabs>
          <w:tab w:val="right" w:leader="dot" w:pos="9016"/>
        </w:tabs>
        <w:rPr>
          <w:rFonts w:asciiTheme="minorHAnsi" w:eastAsiaTheme="minorEastAsia" w:hAnsiTheme="minorHAnsi" w:cstheme="minorBidi"/>
          <w:noProof/>
          <w:sz w:val="22"/>
          <w:szCs w:val="22"/>
          <w:lang w:eastAsia="en-AU"/>
        </w:rPr>
      </w:pPr>
      <w:hyperlink w:anchor="_Toc431389460" w:history="1">
        <w:r w:rsidR="00B71F00" w:rsidRPr="00EE4629">
          <w:rPr>
            <w:rStyle w:val="Hyperlink"/>
            <w:noProof/>
          </w:rPr>
          <w:t>6—Repeal and transition</w:t>
        </w:r>
      </w:hyperlink>
    </w:p>
    <w:p w:rsidR="00B71F00" w:rsidRDefault="00CE5A9F">
      <w:pPr>
        <w:pStyle w:val="TOC1"/>
        <w:rPr>
          <w:rFonts w:asciiTheme="minorHAnsi" w:eastAsiaTheme="minorEastAsia" w:hAnsiTheme="minorHAnsi" w:cstheme="minorBidi"/>
          <w:b w:val="0"/>
          <w:noProof/>
          <w:color w:val="auto"/>
          <w:sz w:val="22"/>
          <w:szCs w:val="22"/>
          <w:lang w:val="en-AU" w:eastAsia="en-AU"/>
        </w:rPr>
      </w:pPr>
      <w:hyperlink w:anchor="_Toc431389461" w:history="1">
        <w:r w:rsidR="00B71F00" w:rsidRPr="00EE4629">
          <w:rPr>
            <w:rStyle w:val="Hyperlink"/>
            <w:noProof/>
          </w:rPr>
          <w:t>Chapter 2—General procedural rules and allocation of Court business</w:t>
        </w:r>
      </w:hyperlink>
    </w:p>
    <w:p w:rsidR="00B71F00" w:rsidRDefault="00CE5A9F">
      <w:pPr>
        <w:pStyle w:val="TOC1"/>
        <w:rPr>
          <w:rFonts w:asciiTheme="minorHAnsi" w:eastAsiaTheme="minorEastAsia" w:hAnsiTheme="minorHAnsi" w:cstheme="minorBidi"/>
          <w:b w:val="0"/>
          <w:noProof/>
          <w:color w:val="auto"/>
          <w:sz w:val="22"/>
          <w:szCs w:val="22"/>
          <w:lang w:val="en-AU" w:eastAsia="en-AU"/>
        </w:rPr>
      </w:pPr>
      <w:hyperlink w:anchor="_Toc431389462" w:history="1">
        <w:r w:rsidR="00B71F00" w:rsidRPr="00EE4629">
          <w:rPr>
            <w:rStyle w:val="Hyperlink"/>
            <w:noProof/>
          </w:rPr>
          <w:t>Chapter 3—Elements of action at first instance</w:t>
        </w:r>
      </w:hyperlink>
    </w:p>
    <w:p w:rsidR="00B71F00" w:rsidRDefault="00CE5A9F">
      <w:pPr>
        <w:pStyle w:val="TOC2"/>
        <w:tabs>
          <w:tab w:val="right" w:leader="dot" w:pos="9016"/>
        </w:tabs>
        <w:rPr>
          <w:rFonts w:asciiTheme="minorHAnsi" w:eastAsiaTheme="minorEastAsia" w:hAnsiTheme="minorHAnsi" w:cstheme="minorBidi"/>
          <w:bCs w:val="0"/>
          <w:noProof/>
          <w:color w:val="auto"/>
          <w:sz w:val="22"/>
          <w:szCs w:val="22"/>
          <w:lang w:val="en-AU" w:eastAsia="en-AU"/>
        </w:rPr>
      </w:pPr>
      <w:hyperlink w:anchor="_Toc431389463" w:history="1">
        <w:r w:rsidR="00B71F00" w:rsidRPr="00EE4629">
          <w:rPr>
            <w:rStyle w:val="Hyperlink"/>
            <w:noProof/>
          </w:rPr>
          <w:t>Part 1—Nature of action</w:t>
        </w:r>
      </w:hyperlink>
    </w:p>
    <w:p w:rsidR="00B71F00" w:rsidRDefault="00CE5A9F">
      <w:pPr>
        <w:pStyle w:val="TOC2"/>
        <w:tabs>
          <w:tab w:val="right" w:leader="dot" w:pos="9016"/>
        </w:tabs>
        <w:rPr>
          <w:rFonts w:asciiTheme="minorHAnsi" w:eastAsiaTheme="minorEastAsia" w:hAnsiTheme="minorHAnsi" w:cstheme="minorBidi"/>
          <w:bCs w:val="0"/>
          <w:noProof/>
          <w:color w:val="auto"/>
          <w:sz w:val="22"/>
          <w:szCs w:val="22"/>
          <w:lang w:val="en-AU" w:eastAsia="en-AU"/>
        </w:rPr>
      </w:pPr>
      <w:hyperlink w:anchor="_Toc431389464" w:history="1">
        <w:r w:rsidR="00B71F00" w:rsidRPr="00EE4629">
          <w:rPr>
            <w:rStyle w:val="Hyperlink"/>
            <w:noProof/>
          </w:rPr>
          <w:t>Part 2—Proceedings in anticipation of action</w:t>
        </w:r>
      </w:hyperlink>
    </w:p>
    <w:p w:rsidR="00B71F00" w:rsidRDefault="00CE5A9F">
      <w:pPr>
        <w:pStyle w:val="TOC2"/>
        <w:tabs>
          <w:tab w:val="right" w:leader="dot" w:pos="9016"/>
        </w:tabs>
        <w:rPr>
          <w:rFonts w:asciiTheme="minorHAnsi" w:eastAsiaTheme="minorEastAsia" w:hAnsiTheme="minorHAnsi" w:cstheme="minorBidi"/>
          <w:bCs w:val="0"/>
          <w:noProof/>
          <w:color w:val="auto"/>
          <w:sz w:val="22"/>
          <w:szCs w:val="22"/>
          <w:lang w:val="en-AU" w:eastAsia="en-AU"/>
        </w:rPr>
      </w:pPr>
      <w:hyperlink w:anchor="_Toc431389465" w:history="1">
        <w:r w:rsidR="00B71F00" w:rsidRPr="00EE4629">
          <w:rPr>
            <w:rStyle w:val="Hyperlink"/>
            <w:noProof/>
          </w:rPr>
          <w:t>Part 3—Commencement of action</w:t>
        </w:r>
      </w:hyperlink>
    </w:p>
    <w:p w:rsidR="00B71F00" w:rsidRDefault="00CE5A9F">
      <w:pPr>
        <w:pStyle w:val="TOC3"/>
        <w:tabs>
          <w:tab w:val="right" w:leader="dot" w:pos="9016"/>
        </w:tabs>
        <w:rPr>
          <w:rFonts w:asciiTheme="minorHAnsi" w:eastAsiaTheme="minorEastAsia" w:hAnsiTheme="minorHAnsi" w:cstheme="minorBidi"/>
          <w:bCs w:val="0"/>
          <w:noProof/>
          <w:color w:val="auto"/>
          <w:sz w:val="22"/>
          <w:szCs w:val="22"/>
          <w:lang w:val="en-AU" w:eastAsia="en-AU"/>
        </w:rPr>
      </w:pPr>
      <w:hyperlink w:anchor="_Toc431389466" w:history="1">
        <w:r w:rsidR="00B71F00" w:rsidRPr="00EE4629">
          <w:rPr>
            <w:rStyle w:val="Hyperlink"/>
            <w:noProof/>
          </w:rPr>
          <w:t>Division 1—How action is commenced</w:t>
        </w:r>
      </w:hyperlink>
    </w:p>
    <w:p w:rsidR="00B71F00" w:rsidRDefault="00CE5A9F">
      <w:pPr>
        <w:pStyle w:val="TOC5"/>
        <w:tabs>
          <w:tab w:val="right" w:leader="dot" w:pos="9016"/>
        </w:tabs>
        <w:rPr>
          <w:rFonts w:asciiTheme="minorHAnsi" w:eastAsiaTheme="minorEastAsia" w:hAnsiTheme="minorHAnsi" w:cstheme="minorBidi"/>
          <w:noProof/>
          <w:sz w:val="22"/>
          <w:szCs w:val="22"/>
          <w:lang w:eastAsia="en-AU"/>
        </w:rPr>
      </w:pPr>
      <w:hyperlink w:anchor="_Toc431389467" w:history="1">
        <w:r w:rsidR="00B71F00" w:rsidRPr="00EE4629">
          <w:rPr>
            <w:rStyle w:val="Hyperlink"/>
            <w:noProof/>
          </w:rPr>
          <w:t>6A—Commencement of action</w:t>
        </w:r>
      </w:hyperlink>
    </w:p>
    <w:p w:rsidR="00B71F00" w:rsidRDefault="00CE5A9F">
      <w:pPr>
        <w:pStyle w:val="TOC4"/>
        <w:rPr>
          <w:rFonts w:asciiTheme="minorHAnsi" w:eastAsiaTheme="minorEastAsia" w:hAnsiTheme="minorHAnsi" w:cstheme="minorBidi"/>
          <w:bCs w:val="0"/>
          <w:noProof/>
          <w:color w:val="auto"/>
          <w:sz w:val="22"/>
          <w:szCs w:val="22"/>
          <w:lang w:val="en-AU" w:eastAsia="en-AU"/>
        </w:rPr>
      </w:pPr>
      <w:hyperlink w:anchor="_Toc431389468" w:history="1">
        <w:r w:rsidR="00B71F00" w:rsidRPr="00EE4629">
          <w:rPr>
            <w:rStyle w:val="Hyperlink"/>
            <w:noProof/>
          </w:rPr>
          <w:t>Subdivision 1—Acquisition and boundary actions</w:t>
        </w:r>
      </w:hyperlink>
    </w:p>
    <w:p w:rsidR="00B71F00" w:rsidRDefault="00CE5A9F">
      <w:pPr>
        <w:pStyle w:val="TOC5"/>
        <w:tabs>
          <w:tab w:val="right" w:leader="dot" w:pos="9016"/>
        </w:tabs>
        <w:rPr>
          <w:rFonts w:asciiTheme="minorHAnsi" w:eastAsiaTheme="minorEastAsia" w:hAnsiTheme="minorHAnsi" w:cstheme="minorBidi"/>
          <w:noProof/>
          <w:sz w:val="22"/>
          <w:szCs w:val="22"/>
          <w:lang w:eastAsia="en-AU"/>
        </w:rPr>
      </w:pPr>
      <w:hyperlink w:anchor="_Toc431389469" w:history="1">
        <w:r w:rsidR="00B71F00" w:rsidRPr="00EE4629">
          <w:rPr>
            <w:rStyle w:val="Hyperlink"/>
            <w:noProof/>
          </w:rPr>
          <w:t>7—Form of summons</w:t>
        </w:r>
      </w:hyperlink>
    </w:p>
    <w:p w:rsidR="00B71F00" w:rsidRDefault="00CE5A9F">
      <w:pPr>
        <w:pStyle w:val="TOC5"/>
        <w:tabs>
          <w:tab w:val="right" w:leader="dot" w:pos="9016"/>
        </w:tabs>
        <w:rPr>
          <w:rFonts w:asciiTheme="minorHAnsi" w:eastAsiaTheme="minorEastAsia" w:hAnsiTheme="minorHAnsi" w:cstheme="minorBidi"/>
          <w:noProof/>
          <w:sz w:val="22"/>
          <w:szCs w:val="22"/>
          <w:lang w:eastAsia="en-AU"/>
        </w:rPr>
      </w:pPr>
      <w:hyperlink w:anchor="_Toc431389470" w:history="1">
        <w:r w:rsidR="00B71F00" w:rsidRPr="00EE4629">
          <w:rPr>
            <w:rStyle w:val="Hyperlink"/>
            <w:noProof/>
          </w:rPr>
          <w:t>7A—Affidavit in lieu of pleading</w:t>
        </w:r>
      </w:hyperlink>
    </w:p>
    <w:p w:rsidR="00B71F00" w:rsidRDefault="00CE5A9F">
      <w:pPr>
        <w:pStyle w:val="TOC4"/>
        <w:rPr>
          <w:rFonts w:asciiTheme="minorHAnsi" w:eastAsiaTheme="minorEastAsia" w:hAnsiTheme="minorHAnsi" w:cstheme="minorBidi"/>
          <w:bCs w:val="0"/>
          <w:noProof/>
          <w:color w:val="auto"/>
          <w:sz w:val="22"/>
          <w:szCs w:val="22"/>
          <w:lang w:val="en-AU" w:eastAsia="en-AU"/>
        </w:rPr>
      </w:pPr>
      <w:hyperlink w:anchor="_Toc431389471" w:history="1">
        <w:r w:rsidR="00B71F00" w:rsidRPr="00EE4629">
          <w:rPr>
            <w:rStyle w:val="Hyperlink"/>
            <w:noProof/>
          </w:rPr>
          <w:t>Subdivision 2—Lodgment actions</w:t>
        </w:r>
      </w:hyperlink>
    </w:p>
    <w:p w:rsidR="00B71F00" w:rsidRDefault="00CE5A9F">
      <w:pPr>
        <w:pStyle w:val="TOC5"/>
        <w:tabs>
          <w:tab w:val="right" w:leader="dot" w:pos="9016"/>
        </w:tabs>
        <w:rPr>
          <w:rFonts w:asciiTheme="minorHAnsi" w:eastAsiaTheme="minorEastAsia" w:hAnsiTheme="minorHAnsi" w:cstheme="minorBidi"/>
          <w:noProof/>
          <w:sz w:val="22"/>
          <w:szCs w:val="22"/>
          <w:lang w:eastAsia="en-AU"/>
        </w:rPr>
      </w:pPr>
      <w:hyperlink w:anchor="_Toc431389472" w:history="1">
        <w:r w:rsidR="00B71F00" w:rsidRPr="00EE4629">
          <w:rPr>
            <w:rStyle w:val="Hyperlink"/>
            <w:noProof/>
          </w:rPr>
          <w:t>8—Form of summons</w:t>
        </w:r>
      </w:hyperlink>
    </w:p>
    <w:p w:rsidR="00B71F00" w:rsidRDefault="00CE5A9F">
      <w:pPr>
        <w:pStyle w:val="TOC5"/>
        <w:tabs>
          <w:tab w:val="right" w:leader="dot" w:pos="9016"/>
        </w:tabs>
        <w:rPr>
          <w:rFonts w:asciiTheme="minorHAnsi" w:eastAsiaTheme="minorEastAsia" w:hAnsiTheme="minorHAnsi" w:cstheme="minorBidi"/>
          <w:noProof/>
          <w:sz w:val="22"/>
          <w:szCs w:val="22"/>
          <w:lang w:eastAsia="en-AU"/>
        </w:rPr>
      </w:pPr>
      <w:hyperlink w:anchor="_Toc431389473" w:history="1">
        <w:r w:rsidR="00B71F00" w:rsidRPr="00EE4629">
          <w:rPr>
            <w:rStyle w:val="Hyperlink"/>
            <w:noProof/>
          </w:rPr>
          <w:t>9—Examples of orders of payment out</w:t>
        </w:r>
      </w:hyperlink>
    </w:p>
    <w:p w:rsidR="00B71F00" w:rsidRDefault="00CE5A9F">
      <w:pPr>
        <w:pStyle w:val="TOC4"/>
        <w:rPr>
          <w:rFonts w:asciiTheme="minorHAnsi" w:eastAsiaTheme="minorEastAsia" w:hAnsiTheme="minorHAnsi" w:cstheme="minorBidi"/>
          <w:bCs w:val="0"/>
          <w:noProof/>
          <w:color w:val="auto"/>
          <w:sz w:val="22"/>
          <w:szCs w:val="22"/>
          <w:lang w:val="en-AU" w:eastAsia="en-AU"/>
        </w:rPr>
      </w:pPr>
      <w:hyperlink w:anchor="_Toc431389474" w:history="1">
        <w:r w:rsidR="00B71F00" w:rsidRPr="00EE4629">
          <w:rPr>
            <w:rStyle w:val="Hyperlink"/>
            <w:noProof/>
          </w:rPr>
          <w:t>Subdivision 3—Valuation appeals</w:t>
        </w:r>
      </w:hyperlink>
    </w:p>
    <w:p w:rsidR="00B71F00" w:rsidRDefault="00CE5A9F">
      <w:pPr>
        <w:pStyle w:val="TOC5"/>
        <w:tabs>
          <w:tab w:val="right" w:leader="dot" w:pos="9016"/>
        </w:tabs>
        <w:rPr>
          <w:rFonts w:asciiTheme="minorHAnsi" w:eastAsiaTheme="minorEastAsia" w:hAnsiTheme="minorHAnsi" w:cstheme="minorBidi"/>
          <w:noProof/>
          <w:sz w:val="22"/>
          <w:szCs w:val="22"/>
          <w:lang w:eastAsia="en-AU"/>
        </w:rPr>
      </w:pPr>
      <w:hyperlink w:anchor="_Toc431389475" w:history="1">
        <w:r w:rsidR="00B71F00" w:rsidRPr="00EE4629">
          <w:rPr>
            <w:rStyle w:val="Hyperlink"/>
            <w:noProof/>
          </w:rPr>
          <w:t>10—Notice of appeal</w:t>
        </w:r>
      </w:hyperlink>
    </w:p>
    <w:p w:rsidR="00B71F00" w:rsidRDefault="00CE5A9F">
      <w:pPr>
        <w:pStyle w:val="TOC1"/>
        <w:rPr>
          <w:rFonts w:asciiTheme="minorHAnsi" w:eastAsiaTheme="minorEastAsia" w:hAnsiTheme="minorHAnsi" w:cstheme="minorBidi"/>
          <w:b w:val="0"/>
          <w:noProof/>
          <w:color w:val="auto"/>
          <w:sz w:val="22"/>
          <w:szCs w:val="22"/>
          <w:lang w:val="en-AU" w:eastAsia="en-AU"/>
        </w:rPr>
      </w:pPr>
      <w:hyperlink w:anchor="_Toc431389476" w:history="1">
        <w:r w:rsidR="00B71F00" w:rsidRPr="00EE4629">
          <w:rPr>
            <w:rStyle w:val="Hyperlink"/>
            <w:noProof/>
          </w:rPr>
          <w:t>Chapter 4—Documents and service</w:t>
        </w:r>
      </w:hyperlink>
    </w:p>
    <w:p w:rsidR="00B71F00" w:rsidRDefault="00CE5A9F">
      <w:pPr>
        <w:pStyle w:val="TOC2"/>
        <w:tabs>
          <w:tab w:val="right" w:leader="dot" w:pos="9016"/>
        </w:tabs>
        <w:rPr>
          <w:rFonts w:asciiTheme="minorHAnsi" w:eastAsiaTheme="minorEastAsia" w:hAnsiTheme="minorHAnsi" w:cstheme="minorBidi"/>
          <w:bCs w:val="0"/>
          <w:noProof/>
          <w:color w:val="auto"/>
          <w:sz w:val="22"/>
          <w:szCs w:val="22"/>
          <w:lang w:val="en-AU" w:eastAsia="en-AU"/>
        </w:rPr>
      </w:pPr>
      <w:hyperlink w:anchor="_Toc431389477" w:history="1">
        <w:r w:rsidR="00B71F00" w:rsidRPr="00EE4629">
          <w:rPr>
            <w:rStyle w:val="Hyperlink"/>
            <w:noProof/>
          </w:rPr>
          <w:t>Part 1—Documents</w:t>
        </w:r>
      </w:hyperlink>
    </w:p>
    <w:p w:rsidR="00B71F00" w:rsidRDefault="00CE5A9F">
      <w:pPr>
        <w:pStyle w:val="TOC3"/>
        <w:tabs>
          <w:tab w:val="right" w:leader="dot" w:pos="9016"/>
        </w:tabs>
        <w:rPr>
          <w:rFonts w:asciiTheme="minorHAnsi" w:eastAsiaTheme="minorEastAsia" w:hAnsiTheme="minorHAnsi" w:cstheme="minorBidi"/>
          <w:bCs w:val="0"/>
          <w:noProof/>
          <w:color w:val="auto"/>
          <w:sz w:val="22"/>
          <w:szCs w:val="22"/>
          <w:lang w:val="en-AU" w:eastAsia="en-AU"/>
        </w:rPr>
      </w:pPr>
      <w:hyperlink w:anchor="_Toc431389478" w:history="1">
        <w:r w:rsidR="00B71F00" w:rsidRPr="00EE4629">
          <w:rPr>
            <w:rStyle w:val="Hyperlink"/>
            <w:noProof/>
          </w:rPr>
          <w:t>Division 1—Approved forms</w:t>
        </w:r>
      </w:hyperlink>
    </w:p>
    <w:p w:rsidR="00B71F00" w:rsidRDefault="00CE5A9F">
      <w:pPr>
        <w:pStyle w:val="TOC5"/>
        <w:tabs>
          <w:tab w:val="right" w:leader="dot" w:pos="9016"/>
        </w:tabs>
        <w:rPr>
          <w:rFonts w:asciiTheme="minorHAnsi" w:eastAsiaTheme="minorEastAsia" w:hAnsiTheme="minorHAnsi" w:cstheme="minorBidi"/>
          <w:noProof/>
          <w:sz w:val="22"/>
          <w:szCs w:val="22"/>
          <w:lang w:eastAsia="en-AU"/>
        </w:rPr>
      </w:pPr>
      <w:hyperlink w:anchor="_Toc431389479" w:history="1">
        <w:r w:rsidR="00B71F00" w:rsidRPr="00EE4629">
          <w:rPr>
            <w:rStyle w:val="Hyperlink"/>
            <w:noProof/>
          </w:rPr>
          <w:t>11—Approved forms</w:t>
        </w:r>
      </w:hyperlink>
    </w:p>
    <w:p w:rsidR="00B71F00" w:rsidRDefault="00CE5A9F">
      <w:pPr>
        <w:pStyle w:val="TOC3"/>
        <w:tabs>
          <w:tab w:val="right" w:leader="dot" w:pos="9016"/>
        </w:tabs>
        <w:rPr>
          <w:rFonts w:asciiTheme="minorHAnsi" w:eastAsiaTheme="minorEastAsia" w:hAnsiTheme="minorHAnsi" w:cstheme="minorBidi"/>
          <w:bCs w:val="0"/>
          <w:noProof/>
          <w:color w:val="auto"/>
          <w:sz w:val="22"/>
          <w:szCs w:val="22"/>
          <w:lang w:val="en-AU" w:eastAsia="en-AU"/>
        </w:rPr>
      </w:pPr>
      <w:hyperlink w:anchor="_Toc431389480" w:history="1">
        <w:r w:rsidR="00B71F00" w:rsidRPr="00EE4629">
          <w:rPr>
            <w:rStyle w:val="Hyperlink"/>
            <w:noProof/>
          </w:rPr>
          <w:t>Division 2—Filing of documents in Court</w:t>
        </w:r>
      </w:hyperlink>
    </w:p>
    <w:p w:rsidR="00B71F00" w:rsidRDefault="00CE5A9F">
      <w:pPr>
        <w:pStyle w:val="TOC5"/>
        <w:tabs>
          <w:tab w:val="right" w:leader="dot" w:pos="9016"/>
        </w:tabs>
        <w:rPr>
          <w:rFonts w:asciiTheme="minorHAnsi" w:eastAsiaTheme="minorEastAsia" w:hAnsiTheme="minorHAnsi" w:cstheme="minorBidi"/>
          <w:noProof/>
          <w:sz w:val="22"/>
          <w:szCs w:val="22"/>
          <w:lang w:eastAsia="en-AU"/>
        </w:rPr>
      </w:pPr>
      <w:hyperlink w:anchor="_Toc431389481" w:history="1">
        <w:r w:rsidR="00B71F00" w:rsidRPr="00EE4629">
          <w:rPr>
            <w:rStyle w:val="Hyperlink"/>
            <w:noProof/>
          </w:rPr>
          <w:t>12—Form of documents for filing in Court</w:t>
        </w:r>
      </w:hyperlink>
    </w:p>
    <w:p w:rsidR="00B71F00" w:rsidRDefault="00CE5A9F">
      <w:pPr>
        <w:pStyle w:val="TOC2"/>
        <w:tabs>
          <w:tab w:val="right" w:leader="dot" w:pos="9016"/>
        </w:tabs>
        <w:rPr>
          <w:rFonts w:asciiTheme="minorHAnsi" w:eastAsiaTheme="minorEastAsia" w:hAnsiTheme="minorHAnsi" w:cstheme="minorBidi"/>
          <w:bCs w:val="0"/>
          <w:noProof/>
          <w:color w:val="auto"/>
          <w:sz w:val="22"/>
          <w:szCs w:val="22"/>
          <w:lang w:val="en-AU" w:eastAsia="en-AU"/>
        </w:rPr>
      </w:pPr>
      <w:hyperlink w:anchor="_Toc431389482" w:history="1">
        <w:r w:rsidR="00B71F00" w:rsidRPr="00EE4629">
          <w:rPr>
            <w:rStyle w:val="Hyperlink"/>
            <w:noProof/>
          </w:rPr>
          <w:t>Part 2—Service</w:t>
        </w:r>
      </w:hyperlink>
    </w:p>
    <w:p w:rsidR="00B71F00" w:rsidRDefault="00CE5A9F">
      <w:pPr>
        <w:pStyle w:val="TOC5"/>
        <w:tabs>
          <w:tab w:val="right" w:leader="dot" w:pos="9016"/>
        </w:tabs>
        <w:rPr>
          <w:rFonts w:asciiTheme="minorHAnsi" w:eastAsiaTheme="minorEastAsia" w:hAnsiTheme="minorHAnsi" w:cstheme="minorBidi"/>
          <w:noProof/>
          <w:sz w:val="22"/>
          <w:szCs w:val="22"/>
          <w:lang w:eastAsia="en-AU"/>
        </w:rPr>
      </w:pPr>
      <w:hyperlink w:anchor="_Toc431389483" w:history="1">
        <w:r w:rsidR="00B71F00" w:rsidRPr="00EE4629">
          <w:rPr>
            <w:rStyle w:val="Hyperlink"/>
            <w:noProof/>
          </w:rPr>
          <w:t>13—Obligation to give address for service</w:t>
        </w:r>
      </w:hyperlink>
    </w:p>
    <w:p w:rsidR="00B71F00" w:rsidRDefault="00CE5A9F">
      <w:pPr>
        <w:pStyle w:val="TOC1"/>
        <w:rPr>
          <w:rFonts w:asciiTheme="minorHAnsi" w:eastAsiaTheme="minorEastAsia" w:hAnsiTheme="minorHAnsi" w:cstheme="minorBidi"/>
          <w:b w:val="0"/>
          <w:noProof/>
          <w:color w:val="auto"/>
          <w:sz w:val="22"/>
          <w:szCs w:val="22"/>
          <w:lang w:val="en-AU" w:eastAsia="en-AU"/>
        </w:rPr>
      </w:pPr>
      <w:hyperlink w:anchor="_Toc431389484" w:history="1">
        <w:r w:rsidR="00B71F00" w:rsidRPr="00EE4629">
          <w:rPr>
            <w:rStyle w:val="Hyperlink"/>
            <w:noProof/>
          </w:rPr>
          <w:t>Chapter 5—Parties and pleadings</w:t>
        </w:r>
      </w:hyperlink>
    </w:p>
    <w:p w:rsidR="00B71F00" w:rsidRDefault="00CE5A9F">
      <w:pPr>
        <w:pStyle w:val="TOC5"/>
        <w:tabs>
          <w:tab w:val="right" w:leader="dot" w:pos="9016"/>
        </w:tabs>
        <w:rPr>
          <w:rFonts w:asciiTheme="minorHAnsi" w:eastAsiaTheme="minorEastAsia" w:hAnsiTheme="minorHAnsi" w:cstheme="minorBidi"/>
          <w:noProof/>
          <w:sz w:val="22"/>
          <w:szCs w:val="22"/>
          <w:lang w:eastAsia="en-AU"/>
        </w:rPr>
      </w:pPr>
      <w:hyperlink w:anchor="_Toc431389485" w:history="1">
        <w:r w:rsidR="00B71F00" w:rsidRPr="00EE4629">
          <w:rPr>
            <w:rStyle w:val="Hyperlink"/>
            <w:noProof/>
          </w:rPr>
          <w:t>14—Statement of facts, issues and contentions</w:t>
        </w:r>
      </w:hyperlink>
    </w:p>
    <w:p w:rsidR="00B71F00" w:rsidRDefault="00CE5A9F">
      <w:pPr>
        <w:pStyle w:val="TOC5"/>
        <w:tabs>
          <w:tab w:val="right" w:leader="dot" w:pos="9016"/>
        </w:tabs>
        <w:rPr>
          <w:rFonts w:asciiTheme="minorHAnsi" w:eastAsiaTheme="minorEastAsia" w:hAnsiTheme="minorHAnsi" w:cstheme="minorBidi"/>
          <w:noProof/>
          <w:sz w:val="22"/>
          <w:szCs w:val="22"/>
          <w:lang w:eastAsia="en-AU"/>
        </w:rPr>
      </w:pPr>
      <w:hyperlink w:anchor="_Toc431389486" w:history="1">
        <w:r w:rsidR="00B71F00" w:rsidRPr="00EE4629">
          <w:rPr>
            <w:rStyle w:val="Hyperlink"/>
            <w:noProof/>
          </w:rPr>
          <w:t>15—Response to statement of facts, issues and contentions</w:t>
        </w:r>
      </w:hyperlink>
    </w:p>
    <w:p w:rsidR="00B71F00" w:rsidRDefault="00CE5A9F">
      <w:pPr>
        <w:pStyle w:val="TOC1"/>
        <w:rPr>
          <w:rFonts w:asciiTheme="minorHAnsi" w:eastAsiaTheme="minorEastAsia" w:hAnsiTheme="minorHAnsi" w:cstheme="minorBidi"/>
          <w:b w:val="0"/>
          <w:noProof/>
          <w:color w:val="auto"/>
          <w:sz w:val="22"/>
          <w:szCs w:val="22"/>
          <w:lang w:val="en-AU" w:eastAsia="en-AU"/>
        </w:rPr>
      </w:pPr>
      <w:hyperlink w:anchor="_Toc431389487" w:history="1">
        <w:r w:rsidR="00B71F00" w:rsidRPr="00EE4629">
          <w:rPr>
            <w:rStyle w:val="Hyperlink"/>
            <w:noProof/>
          </w:rPr>
          <w:t>Chapter 6—Case management</w:t>
        </w:r>
      </w:hyperlink>
    </w:p>
    <w:p w:rsidR="00B71F00" w:rsidRDefault="00CE5A9F">
      <w:pPr>
        <w:pStyle w:val="TOC1"/>
        <w:rPr>
          <w:rFonts w:asciiTheme="minorHAnsi" w:eastAsiaTheme="minorEastAsia" w:hAnsiTheme="minorHAnsi" w:cstheme="minorBidi"/>
          <w:b w:val="0"/>
          <w:noProof/>
          <w:color w:val="auto"/>
          <w:sz w:val="22"/>
          <w:szCs w:val="22"/>
          <w:lang w:val="en-AU" w:eastAsia="en-AU"/>
        </w:rPr>
      </w:pPr>
      <w:hyperlink w:anchor="_Toc431389488" w:history="1">
        <w:r w:rsidR="00B71F00" w:rsidRPr="00EE4629">
          <w:rPr>
            <w:rStyle w:val="Hyperlink"/>
            <w:noProof/>
          </w:rPr>
          <w:t>Chapter 7—Pre-trial procedures</w:t>
        </w:r>
      </w:hyperlink>
    </w:p>
    <w:p w:rsidR="00B71F00" w:rsidRDefault="00CE5A9F">
      <w:pPr>
        <w:pStyle w:val="TOC2"/>
        <w:tabs>
          <w:tab w:val="right" w:leader="dot" w:pos="9016"/>
        </w:tabs>
        <w:rPr>
          <w:rFonts w:asciiTheme="minorHAnsi" w:eastAsiaTheme="minorEastAsia" w:hAnsiTheme="minorHAnsi" w:cstheme="minorBidi"/>
          <w:bCs w:val="0"/>
          <w:noProof/>
          <w:color w:val="auto"/>
          <w:sz w:val="22"/>
          <w:szCs w:val="22"/>
          <w:lang w:val="en-AU" w:eastAsia="en-AU"/>
        </w:rPr>
      </w:pPr>
      <w:hyperlink w:anchor="_Toc431389489" w:history="1">
        <w:r w:rsidR="00B71F00" w:rsidRPr="00EE4629">
          <w:rPr>
            <w:rStyle w:val="Hyperlink"/>
            <w:noProof/>
          </w:rPr>
          <w:t>Part 1—Initial steps</w:t>
        </w:r>
      </w:hyperlink>
    </w:p>
    <w:p w:rsidR="00B71F00" w:rsidRDefault="00CE5A9F">
      <w:pPr>
        <w:pStyle w:val="TOC2"/>
        <w:tabs>
          <w:tab w:val="right" w:leader="dot" w:pos="9016"/>
        </w:tabs>
        <w:rPr>
          <w:rFonts w:asciiTheme="minorHAnsi" w:eastAsiaTheme="minorEastAsia" w:hAnsiTheme="minorHAnsi" w:cstheme="minorBidi"/>
          <w:bCs w:val="0"/>
          <w:noProof/>
          <w:color w:val="auto"/>
          <w:sz w:val="22"/>
          <w:szCs w:val="22"/>
          <w:lang w:val="en-AU" w:eastAsia="en-AU"/>
        </w:rPr>
      </w:pPr>
      <w:hyperlink w:anchor="_Toc431389490" w:history="1">
        <w:r w:rsidR="00B71F00" w:rsidRPr="00EE4629">
          <w:rPr>
            <w:rStyle w:val="Hyperlink"/>
            <w:noProof/>
          </w:rPr>
          <w:t>Part 2—Interlocutory steps generally</w:t>
        </w:r>
      </w:hyperlink>
    </w:p>
    <w:p w:rsidR="00B71F00" w:rsidRDefault="00CE5A9F">
      <w:pPr>
        <w:pStyle w:val="TOC3"/>
        <w:tabs>
          <w:tab w:val="right" w:leader="dot" w:pos="9016"/>
        </w:tabs>
        <w:rPr>
          <w:rFonts w:asciiTheme="minorHAnsi" w:eastAsiaTheme="minorEastAsia" w:hAnsiTheme="minorHAnsi" w:cstheme="minorBidi"/>
          <w:bCs w:val="0"/>
          <w:noProof/>
          <w:color w:val="auto"/>
          <w:sz w:val="22"/>
          <w:szCs w:val="22"/>
          <w:lang w:val="en-AU" w:eastAsia="en-AU"/>
        </w:rPr>
      </w:pPr>
      <w:hyperlink w:anchor="_Toc431389491" w:history="1">
        <w:r w:rsidR="00B71F00" w:rsidRPr="00EE4629">
          <w:rPr>
            <w:rStyle w:val="Hyperlink"/>
            <w:noProof/>
          </w:rPr>
          <w:t>Division 1—Litigation plan</w:t>
        </w:r>
      </w:hyperlink>
    </w:p>
    <w:p w:rsidR="00B71F00" w:rsidRDefault="00CE5A9F">
      <w:pPr>
        <w:pStyle w:val="TOC3"/>
        <w:tabs>
          <w:tab w:val="right" w:leader="dot" w:pos="9016"/>
        </w:tabs>
        <w:rPr>
          <w:rFonts w:asciiTheme="minorHAnsi" w:eastAsiaTheme="minorEastAsia" w:hAnsiTheme="minorHAnsi" w:cstheme="minorBidi"/>
          <w:bCs w:val="0"/>
          <w:noProof/>
          <w:color w:val="auto"/>
          <w:sz w:val="22"/>
          <w:szCs w:val="22"/>
          <w:lang w:val="en-AU" w:eastAsia="en-AU"/>
        </w:rPr>
      </w:pPr>
      <w:hyperlink w:anchor="_Toc431389492" w:history="1">
        <w:r w:rsidR="00B71F00" w:rsidRPr="00EE4629">
          <w:rPr>
            <w:rStyle w:val="Hyperlink"/>
            <w:noProof/>
          </w:rPr>
          <w:t>Division 2—Directions hearings</w:t>
        </w:r>
      </w:hyperlink>
    </w:p>
    <w:p w:rsidR="00B71F00" w:rsidRDefault="00CE5A9F">
      <w:pPr>
        <w:pStyle w:val="TOC5"/>
        <w:tabs>
          <w:tab w:val="right" w:leader="dot" w:pos="9016"/>
        </w:tabs>
        <w:rPr>
          <w:rFonts w:asciiTheme="minorHAnsi" w:eastAsiaTheme="minorEastAsia" w:hAnsiTheme="minorHAnsi" w:cstheme="minorBidi"/>
          <w:noProof/>
          <w:sz w:val="22"/>
          <w:szCs w:val="22"/>
          <w:lang w:eastAsia="en-AU"/>
        </w:rPr>
      </w:pPr>
      <w:hyperlink w:anchor="_Toc431389493" w:history="1">
        <w:r w:rsidR="00B71F00" w:rsidRPr="00EE4629">
          <w:rPr>
            <w:rStyle w:val="Hyperlink"/>
            <w:noProof/>
          </w:rPr>
          <w:t>16—Directions hearing</w:t>
        </w:r>
      </w:hyperlink>
    </w:p>
    <w:p w:rsidR="00B71F00" w:rsidRDefault="00CE5A9F">
      <w:pPr>
        <w:pStyle w:val="TOC1"/>
        <w:rPr>
          <w:rFonts w:asciiTheme="minorHAnsi" w:eastAsiaTheme="minorEastAsia" w:hAnsiTheme="minorHAnsi" w:cstheme="minorBidi"/>
          <w:b w:val="0"/>
          <w:noProof/>
          <w:color w:val="auto"/>
          <w:sz w:val="22"/>
          <w:szCs w:val="22"/>
          <w:lang w:val="en-AU" w:eastAsia="en-AU"/>
        </w:rPr>
      </w:pPr>
      <w:hyperlink w:anchor="_Toc431389494" w:history="1">
        <w:r w:rsidR="00B71F00" w:rsidRPr="00EE4629">
          <w:rPr>
            <w:rStyle w:val="Hyperlink"/>
            <w:noProof/>
          </w:rPr>
          <w:t>Chapter 8—Special kinds of action</w:t>
        </w:r>
      </w:hyperlink>
    </w:p>
    <w:p w:rsidR="00B71F00" w:rsidRDefault="00CE5A9F">
      <w:pPr>
        <w:pStyle w:val="TOC1"/>
        <w:rPr>
          <w:rFonts w:asciiTheme="minorHAnsi" w:eastAsiaTheme="minorEastAsia" w:hAnsiTheme="minorHAnsi" w:cstheme="minorBidi"/>
          <w:b w:val="0"/>
          <w:noProof/>
          <w:color w:val="auto"/>
          <w:sz w:val="22"/>
          <w:szCs w:val="22"/>
          <w:lang w:val="en-AU" w:eastAsia="en-AU"/>
        </w:rPr>
      </w:pPr>
      <w:hyperlink w:anchor="_Toc431389495" w:history="1">
        <w:r w:rsidR="00B71F00" w:rsidRPr="00EE4629">
          <w:rPr>
            <w:rStyle w:val="Hyperlink"/>
            <w:noProof/>
          </w:rPr>
          <w:t>Chapter 9—Trial</w:t>
        </w:r>
      </w:hyperlink>
    </w:p>
    <w:p w:rsidR="00B71F00" w:rsidRDefault="00CE5A9F">
      <w:pPr>
        <w:pStyle w:val="TOC1"/>
        <w:rPr>
          <w:rFonts w:asciiTheme="minorHAnsi" w:eastAsiaTheme="minorEastAsia" w:hAnsiTheme="minorHAnsi" w:cstheme="minorBidi"/>
          <w:b w:val="0"/>
          <w:noProof/>
          <w:color w:val="auto"/>
          <w:sz w:val="22"/>
          <w:szCs w:val="22"/>
          <w:lang w:val="en-AU" w:eastAsia="en-AU"/>
        </w:rPr>
      </w:pPr>
      <w:hyperlink w:anchor="_Toc431389496" w:history="1">
        <w:r w:rsidR="00B71F00" w:rsidRPr="00EE4629">
          <w:rPr>
            <w:rStyle w:val="Hyperlink"/>
            <w:noProof/>
          </w:rPr>
          <w:t>Chapter 10—Alternative dispute resolution</w:t>
        </w:r>
      </w:hyperlink>
    </w:p>
    <w:p w:rsidR="00B71F00" w:rsidRDefault="00CE5A9F">
      <w:pPr>
        <w:pStyle w:val="TOC1"/>
        <w:rPr>
          <w:rFonts w:asciiTheme="minorHAnsi" w:eastAsiaTheme="minorEastAsia" w:hAnsiTheme="minorHAnsi" w:cstheme="minorBidi"/>
          <w:b w:val="0"/>
          <w:noProof/>
          <w:color w:val="auto"/>
          <w:sz w:val="22"/>
          <w:szCs w:val="22"/>
          <w:lang w:val="en-AU" w:eastAsia="en-AU"/>
        </w:rPr>
      </w:pPr>
      <w:hyperlink w:anchor="_Toc431389497" w:history="1">
        <w:r w:rsidR="00B71F00" w:rsidRPr="00EE4629">
          <w:rPr>
            <w:rStyle w:val="Hyperlink"/>
            <w:noProof/>
          </w:rPr>
          <w:t>Chapter 11—Judgment</w:t>
        </w:r>
      </w:hyperlink>
    </w:p>
    <w:p w:rsidR="00B71F00" w:rsidRDefault="00CE5A9F">
      <w:pPr>
        <w:pStyle w:val="TOC1"/>
        <w:rPr>
          <w:rFonts w:asciiTheme="minorHAnsi" w:eastAsiaTheme="minorEastAsia" w:hAnsiTheme="minorHAnsi" w:cstheme="minorBidi"/>
          <w:b w:val="0"/>
          <w:noProof/>
          <w:color w:val="auto"/>
          <w:sz w:val="22"/>
          <w:szCs w:val="22"/>
          <w:lang w:val="en-AU" w:eastAsia="en-AU"/>
        </w:rPr>
      </w:pPr>
      <w:hyperlink w:anchor="_Toc431389498" w:history="1">
        <w:r w:rsidR="00B71F00" w:rsidRPr="00EE4629">
          <w:rPr>
            <w:rStyle w:val="Hyperlink"/>
            <w:noProof/>
          </w:rPr>
          <w:t>Chapter 12—Costs</w:t>
        </w:r>
      </w:hyperlink>
    </w:p>
    <w:p w:rsidR="00B71F00" w:rsidRDefault="00CE5A9F">
      <w:pPr>
        <w:pStyle w:val="TOC1"/>
        <w:rPr>
          <w:rFonts w:asciiTheme="minorHAnsi" w:eastAsiaTheme="minorEastAsia" w:hAnsiTheme="minorHAnsi" w:cstheme="minorBidi"/>
          <w:b w:val="0"/>
          <w:noProof/>
          <w:color w:val="auto"/>
          <w:sz w:val="22"/>
          <w:szCs w:val="22"/>
          <w:lang w:val="en-AU" w:eastAsia="en-AU"/>
        </w:rPr>
      </w:pPr>
      <w:hyperlink w:anchor="_Toc431389499" w:history="1">
        <w:r w:rsidR="00B71F00" w:rsidRPr="00EE4629">
          <w:rPr>
            <w:rStyle w:val="Hyperlink"/>
            <w:noProof/>
          </w:rPr>
          <w:t>Chapter 13—Appellate proceedings</w:t>
        </w:r>
      </w:hyperlink>
    </w:p>
    <w:p w:rsidR="00B71F00" w:rsidRDefault="00CE5A9F">
      <w:pPr>
        <w:pStyle w:val="TOC1"/>
        <w:rPr>
          <w:rFonts w:asciiTheme="minorHAnsi" w:eastAsiaTheme="minorEastAsia" w:hAnsiTheme="minorHAnsi" w:cstheme="minorBidi"/>
          <w:b w:val="0"/>
          <w:noProof/>
          <w:color w:val="auto"/>
          <w:sz w:val="22"/>
          <w:szCs w:val="22"/>
          <w:lang w:val="en-AU" w:eastAsia="en-AU"/>
        </w:rPr>
      </w:pPr>
      <w:hyperlink w:anchor="_Toc431389500" w:history="1">
        <w:r w:rsidR="00B71F00" w:rsidRPr="00EE4629">
          <w:rPr>
            <w:rStyle w:val="Hyperlink"/>
            <w:noProof/>
          </w:rPr>
          <w:t>Chapter 14—Contempt of Court</w:t>
        </w:r>
      </w:hyperlink>
    </w:p>
    <w:p w:rsidR="00B71F00" w:rsidRDefault="00CE5A9F">
      <w:pPr>
        <w:pStyle w:val="TOC1"/>
        <w:rPr>
          <w:rFonts w:asciiTheme="minorHAnsi" w:eastAsiaTheme="minorEastAsia" w:hAnsiTheme="minorHAnsi" w:cstheme="minorBidi"/>
          <w:b w:val="0"/>
          <w:noProof/>
          <w:color w:val="auto"/>
          <w:sz w:val="22"/>
          <w:szCs w:val="22"/>
          <w:lang w:val="en-AU" w:eastAsia="en-AU"/>
        </w:rPr>
      </w:pPr>
      <w:hyperlink w:anchor="_Toc431389501" w:history="1">
        <w:r w:rsidR="00B71F00" w:rsidRPr="00EE4629">
          <w:rPr>
            <w:rStyle w:val="Hyperlink"/>
            <w:noProof/>
          </w:rPr>
          <w:t>Chapter 15—Statutory proceedings</w:t>
        </w:r>
      </w:hyperlink>
    </w:p>
    <w:p w:rsidR="00B71F00" w:rsidRDefault="00CE5A9F">
      <w:pPr>
        <w:pStyle w:val="TOC1"/>
        <w:rPr>
          <w:rFonts w:asciiTheme="minorHAnsi" w:eastAsiaTheme="minorEastAsia" w:hAnsiTheme="minorHAnsi" w:cstheme="minorBidi"/>
          <w:b w:val="0"/>
          <w:noProof/>
          <w:color w:val="auto"/>
          <w:sz w:val="22"/>
          <w:szCs w:val="22"/>
          <w:lang w:val="en-AU" w:eastAsia="en-AU"/>
        </w:rPr>
      </w:pPr>
      <w:hyperlink w:anchor="_Toc431389502" w:history="1">
        <w:r w:rsidR="00B71F00" w:rsidRPr="00EE4629">
          <w:rPr>
            <w:rStyle w:val="Hyperlink"/>
            <w:noProof/>
          </w:rPr>
          <w:t>History of Amendment</w:t>
        </w:r>
      </w:hyperlink>
    </w:p>
    <w:p w:rsidR="000254F3" w:rsidRDefault="00D37CD0" w:rsidP="00DA0C95">
      <w:pPr>
        <w:rPr>
          <w:color w:val="000000"/>
          <w:sz w:val="32"/>
          <w:szCs w:val="28"/>
          <w:lang w:val="en-US"/>
        </w:rPr>
        <w:sectPr w:rsidR="000254F3" w:rsidSect="000254F3">
          <w:footerReference w:type="first" r:id="rId9"/>
          <w:pgSz w:w="11906" w:h="16838"/>
          <w:pgMar w:top="1440" w:right="1440" w:bottom="1440" w:left="1440" w:header="708" w:footer="708" w:gutter="0"/>
          <w:pgNumType w:fmt="lowerRoman" w:start="1"/>
          <w:cols w:space="708"/>
          <w:docGrid w:linePitch="360"/>
        </w:sectPr>
      </w:pPr>
      <w:r>
        <w:rPr>
          <w:color w:val="000000"/>
          <w:sz w:val="32"/>
          <w:szCs w:val="28"/>
          <w:lang w:val="en-US"/>
        </w:rPr>
        <w:fldChar w:fldCharType="end"/>
      </w:r>
    </w:p>
    <w:p w:rsidR="00015295" w:rsidRDefault="00015295" w:rsidP="00015295">
      <w:pPr>
        <w:pStyle w:val="Chapter"/>
      </w:pPr>
      <w:bookmarkStart w:id="1" w:name="_Toc431389449"/>
      <w:bookmarkStart w:id="2" w:name="Elkera_Print_TOC9"/>
      <w:r>
        <w:t>Chapter 1—Preliminary</w:t>
      </w:r>
      <w:bookmarkEnd w:id="1"/>
    </w:p>
    <w:p w:rsidR="00BD5B6F" w:rsidRPr="00E875A1" w:rsidRDefault="00BD5B6F" w:rsidP="00E875A1">
      <w:pPr>
        <w:pStyle w:val="Part"/>
      </w:pPr>
      <w:bookmarkStart w:id="3" w:name="_Toc431389450"/>
      <w:r w:rsidRPr="00E875A1">
        <w:t>Part 1—Formal provisions</w:t>
      </w:r>
      <w:bookmarkEnd w:id="2"/>
      <w:bookmarkEnd w:id="3"/>
    </w:p>
    <w:p w:rsidR="00BD5B6F" w:rsidRDefault="00BD5B6F" w:rsidP="00BD5B6F">
      <w:pPr>
        <w:pStyle w:val="clausehead"/>
      </w:pPr>
      <w:bookmarkStart w:id="4" w:name="Elkera_Print_TOC10"/>
      <w:bookmarkStart w:id="5" w:name="_Toc387746005"/>
      <w:bookmarkStart w:id="6" w:name="_Toc387757793"/>
      <w:bookmarkStart w:id="7" w:name="_Toc387833060"/>
      <w:bookmarkStart w:id="8" w:name="_Toc390417484"/>
      <w:bookmarkStart w:id="9" w:name="_Toc392832911"/>
      <w:bookmarkStart w:id="10" w:name="_Toc394919019"/>
      <w:bookmarkStart w:id="11" w:name="_Toc394929050"/>
      <w:bookmarkStart w:id="12" w:name="_Toc396129481"/>
      <w:bookmarkStart w:id="13" w:name="_Toc396831141"/>
      <w:bookmarkStart w:id="14" w:name="_Toc431389451"/>
      <w:r>
        <w:t>1</w:t>
      </w:r>
      <w:r w:rsidR="006165F9">
        <w:t>—</w:t>
      </w:r>
      <w:r>
        <w:t>Citation</w:t>
      </w:r>
      <w:bookmarkEnd w:id="4"/>
      <w:bookmarkEnd w:id="5"/>
      <w:bookmarkEnd w:id="6"/>
      <w:bookmarkEnd w:id="7"/>
      <w:bookmarkEnd w:id="8"/>
      <w:bookmarkEnd w:id="9"/>
      <w:bookmarkEnd w:id="10"/>
      <w:bookmarkEnd w:id="11"/>
      <w:bookmarkEnd w:id="12"/>
      <w:bookmarkEnd w:id="13"/>
      <w:bookmarkEnd w:id="14"/>
    </w:p>
    <w:p w:rsidR="00BD5B6F" w:rsidRPr="004264B4" w:rsidRDefault="004264B4" w:rsidP="004264B4">
      <w:pPr>
        <w:pStyle w:val="Hangindent"/>
        <w:rPr>
          <w:sz w:val="24"/>
          <w:szCs w:val="24"/>
          <w:lang w:val="en-US"/>
        </w:rPr>
      </w:pPr>
      <w:r w:rsidRPr="004264B4">
        <w:rPr>
          <w:sz w:val="24"/>
          <w:szCs w:val="24"/>
          <w:lang w:val="en-US"/>
        </w:rPr>
        <w:t>(1)</w:t>
      </w:r>
      <w:r w:rsidRPr="004264B4">
        <w:rPr>
          <w:sz w:val="24"/>
          <w:szCs w:val="24"/>
          <w:lang w:val="en-US"/>
        </w:rPr>
        <w:tab/>
      </w:r>
      <w:r w:rsidR="00BD5B6F" w:rsidRPr="004264B4">
        <w:rPr>
          <w:sz w:val="24"/>
          <w:szCs w:val="24"/>
          <w:lang w:val="en-US"/>
        </w:rPr>
        <w:t xml:space="preserve">These </w:t>
      </w:r>
      <w:r w:rsidR="002A5CB8" w:rsidRPr="004264B4">
        <w:rPr>
          <w:sz w:val="24"/>
          <w:szCs w:val="24"/>
          <w:lang w:val="en-US"/>
        </w:rPr>
        <w:t>Supplementary Rules</w:t>
      </w:r>
      <w:r w:rsidR="00BD5B6F" w:rsidRPr="004264B4">
        <w:rPr>
          <w:sz w:val="24"/>
          <w:szCs w:val="24"/>
          <w:lang w:val="en-US"/>
        </w:rPr>
        <w:t xml:space="preserve"> may be cited as the </w:t>
      </w:r>
      <w:r w:rsidR="00BD5B6F" w:rsidRPr="004264B4">
        <w:rPr>
          <w:i/>
          <w:sz w:val="24"/>
          <w:szCs w:val="24"/>
          <w:lang w:val="en-US"/>
        </w:rPr>
        <w:t xml:space="preserve">Land and Valuation </w:t>
      </w:r>
      <w:r w:rsidR="000B7EB5" w:rsidRPr="004264B4">
        <w:rPr>
          <w:i/>
          <w:sz w:val="24"/>
          <w:szCs w:val="24"/>
          <w:lang w:val="en-US"/>
        </w:rPr>
        <w:t xml:space="preserve">Division </w:t>
      </w:r>
      <w:r w:rsidR="002A5CB8" w:rsidRPr="004264B4">
        <w:rPr>
          <w:i/>
          <w:sz w:val="24"/>
          <w:szCs w:val="24"/>
          <w:lang w:val="en-US"/>
        </w:rPr>
        <w:t xml:space="preserve">Supplementary Rules </w:t>
      </w:r>
      <w:r w:rsidR="00BD5B6F" w:rsidRPr="004264B4">
        <w:rPr>
          <w:i/>
          <w:sz w:val="24"/>
          <w:szCs w:val="24"/>
          <w:lang w:val="en-US"/>
        </w:rPr>
        <w:t>2014</w:t>
      </w:r>
      <w:r w:rsidR="00BD5B6F" w:rsidRPr="004264B4">
        <w:rPr>
          <w:sz w:val="24"/>
          <w:szCs w:val="24"/>
          <w:lang w:val="en-US"/>
        </w:rPr>
        <w:t>.</w:t>
      </w:r>
    </w:p>
    <w:p w:rsidR="004264B4" w:rsidRPr="00D37CD0" w:rsidRDefault="004264B4" w:rsidP="004264B4">
      <w:pPr>
        <w:pStyle w:val="Hangindent"/>
        <w:jc w:val="both"/>
        <w:rPr>
          <w:sz w:val="24"/>
          <w:szCs w:val="24"/>
        </w:rPr>
      </w:pPr>
      <w:bookmarkStart w:id="15" w:name="Elkera_Print_TOC11"/>
      <w:bookmarkStart w:id="16" w:name="_Toc387746006"/>
      <w:bookmarkStart w:id="17" w:name="_Toc387757794"/>
      <w:bookmarkStart w:id="18" w:name="_Toc387833061"/>
      <w:bookmarkStart w:id="19" w:name="_Toc390417485"/>
      <w:bookmarkStart w:id="20" w:name="_Toc392832912"/>
      <w:bookmarkStart w:id="21" w:name="_Toc394919020"/>
      <w:bookmarkStart w:id="22" w:name="_Toc394929051"/>
      <w:r w:rsidRPr="00D37CD0">
        <w:rPr>
          <w:sz w:val="24"/>
          <w:szCs w:val="24"/>
        </w:rPr>
        <w:t>(2)</w:t>
      </w:r>
      <w:r w:rsidRPr="00D37CD0">
        <w:rPr>
          <w:sz w:val="24"/>
          <w:szCs w:val="24"/>
        </w:rPr>
        <w:tab/>
        <w:t xml:space="preserve">These Supplementary Rules supplement the </w:t>
      </w:r>
      <w:r w:rsidRPr="00D37CD0">
        <w:rPr>
          <w:i/>
          <w:sz w:val="24"/>
          <w:szCs w:val="24"/>
        </w:rPr>
        <w:t>Land and Valuation Division Rules 2014</w:t>
      </w:r>
      <w:r w:rsidRPr="00D37CD0">
        <w:rPr>
          <w:sz w:val="24"/>
          <w:szCs w:val="24"/>
        </w:rPr>
        <w:t>.</w:t>
      </w:r>
    </w:p>
    <w:p w:rsidR="004264B4" w:rsidRPr="00D37CD0" w:rsidRDefault="004264B4" w:rsidP="004264B4">
      <w:pPr>
        <w:pStyle w:val="Hangindent"/>
        <w:jc w:val="both"/>
        <w:rPr>
          <w:sz w:val="24"/>
          <w:szCs w:val="24"/>
        </w:rPr>
      </w:pPr>
      <w:r w:rsidRPr="00D37CD0">
        <w:rPr>
          <w:sz w:val="24"/>
          <w:szCs w:val="24"/>
        </w:rPr>
        <w:t>(3)</w:t>
      </w:r>
      <w:r w:rsidRPr="00D37CD0">
        <w:rPr>
          <w:sz w:val="24"/>
          <w:szCs w:val="24"/>
        </w:rPr>
        <w:tab/>
        <w:t xml:space="preserve">These Supplementary Rules follow the Chapter, Part and Division headings of the </w:t>
      </w:r>
      <w:r w:rsidRPr="00D37CD0">
        <w:rPr>
          <w:i/>
          <w:sz w:val="24"/>
          <w:szCs w:val="24"/>
        </w:rPr>
        <w:t>Land and Valuation Division Rules 2014</w:t>
      </w:r>
      <w:r w:rsidRPr="00D37CD0">
        <w:rPr>
          <w:sz w:val="24"/>
          <w:szCs w:val="24"/>
        </w:rPr>
        <w:t>.</w:t>
      </w:r>
    </w:p>
    <w:p w:rsidR="00BD5B6F" w:rsidRDefault="00BD5B6F" w:rsidP="00BD5B6F">
      <w:pPr>
        <w:pStyle w:val="clausehead"/>
      </w:pPr>
      <w:bookmarkStart w:id="23" w:name="_Toc396129482"/>
      <w:bookmarkStart w:id="24" w:name="_Toc396831142"/>
      <w:bookmarkStart w:id="25" w:name="_Toc431389452"/>
      <w:r>
        <w:t>2</w:t>
      </w:r>
      <w:r w:rsidR="006165F9">
        <w:t>—</w:t>
      </w:r>
      <w:r>
        <w:t>Commencement</w:t>
      </w:r>
      <w:bookmarkEnd w:id="15"/>
      <w:bookmarkEnd w:id="16"/>
      <w:bookmarkEnd w:id="17"/>
      <w:bookmarkEnd w:id="18"/>
      <w:bookmarkEnd w:id="19"/>
      <w:bookmarkEnd w:id="20"/>
      <w:bookmarkEnd w:id="21"/>
      <w:bookmarkEnd w:id="22"/>
      <w:bookmarkEnd w:id="23"/>
      <w:bookmarkEnd w:id="24"/>
      <w:bookmarkEnd w:id="25"/>
    </w:p>
    <w:p w:rsidR="00BD5B6F" w:rsidRPr="00F43A74" w:rsidRDefault="00BD5B6F" w:rsidP="00722492">
      <w:pPr>
        <w:pStyle w:val="IndentedPara"/>
        <w:rPr>
          <w:sz w:val="24"/>
          <w:szCs w:val="24"/>
        </w:rPr>
      </w:pPr>
      <w:r w:rsidRPr="00F43A74">
        <w:rPr>
          <w:sz w:val="24"/>
          <w:szCs w:val="24"/>
        </w:rPr>
        <w:t>These</w:t>
      </w:r>
      <w:r w:rsidR="003A2B23" w:rsidRPr="00F43A74">
        <w:rPr>
          <w:sz w:val="24"/>
          <w:szCs w:val="24"/>
        </w:rPr>
        <w:t xml:space="preserve"> </w:t>
      </w:r>
      <w:r w:rsidR="002A5CB8" w:rsidRPr="00F43A74">
        <w:rPr>
          <w:sz w:val="24"/>
          <w:szCs w:val="24"/>
        </w:rPr>
        <w:t>Supplementary Rules</w:t>
      </w:r>
      <w:r w:rsidRPr="00F43A74">
        <w:rPr>
          <w:sz w:val="24"/>
          <w:szCs w:val="24"/>
        </w:rPr>
        <w:t xml:space="preserve"> c</w:t>
      </w:r>
      <w:r w:rsidR="002A5CB8" w:rsidRPr="00F43A74">
        <w:rPr>
          <w:sz w:val="24"/>
          <w:szCs w:val="24"/>
        </w:rPr>
        <w:t>ommence on 1 October</w:t>
      </w:r>
      <w:r w:rsidRPr="00F43A74">
        <w:rPr>
          <w:sz w:val="24"/>
          <w:szCs w:val="24"/>
        </w:rPr>
        <w:t xml:space="preserve"> 2014.</w:t>
      </w:r>
    </w:p>
    <w:p w:rsidR="00BD5B6F" w:rsidRDefault="00BD5B6F" w:rsidP="00E302D5">
      <w:pPr>
        <w:pStyle w:val="Part"/>
      </w:pPr>
      <w:bookmarkStart w:id="26" w:name="Elkera_Print_TOC12"/>
      <w:bookmarkStart w:id="27" w:name="_Toc431389453"/>
      <w:r>
        <w:t>Part 2—Objects</w:t>
      </w:r>
      <w:bookmarkEnd w:id="26"/>
      <w:bookmarkEnd w:id="27"/>
    </w:p>
    <w:p w:rsidR="00BD5B6F" w:rsidRDefault="00BD5B6F" w:rsidP="00BD5B6F">
      <w:pPr>
        <w:pStyle w:val="clausehead"/>
      </w:pPr>
      <w:bookmarkStart w:id="28" w:name="Elkera_Print_TOC13"/>
      <w:bookmarkStart w:id="29" w:name="_Toc387746007"/>
      <w:bookmarkStart w:id="30" w:name="_Toc387757795"/>
      <w:bookmarkStart w:id="31" w:name="_Toc387833062"/>
      <w:bookmarkStart w:id="32" w:name="_Toc390417486"/>
      <w:bookmarkStart w:id="33" w:name="_Toc392832913"/>
      <w:bookmarkStart w:id="34" w:name="_Toc394919021"/>
      <w:bookmarkStart w:id="35" w:name="_Toc394929052"/>
      <w:bookmarkStart w:id="36" w:name="_Toc396129483"/>
      <w:bookmarkStart w:id="37" w:name="_Toc396831143"/>
      <w:bookmarkStart w:id="38" w:name="_Toc431389454"/>
      <w:r>
        <w:t>3</w:t>
      </w:r>
      <w:r w:rsidR="006165F9">
        <w:t>—</w:t>
      </w:r>
      <w:r>
        <w:t>Objects</w:t>
      </w:r>
      <w:bookmarkEnd w:id="28"/>
      <w:bookmarkEnd w:id="29"/>
      <w:bookmarkEnd w:id="30"/>
      <w:bookmarkEnd w:id="31"/>
      <w:bookmarkEnd w:id="32"/>
      <w:bookmarkEnd w:id="33"/>
      <w:bookmarkEnd w:id="34"/>
      <w:bookmarkEnd w:id="35"/>
      <w:bookmarkEnd w:id="36"/>
      <w:bookmarkEnd w:id="37"/>
      <w:bookmarkEnd w:id="38"/>
    </w:p>
    <w:p w:rsidR="002A5CB8" w:rsidRPr="00F43A74" w:rsidRDefault="002A5CB8" w:rsidP="002A5CB8">
      <w:pPr>
        <w:pStyle w:val="IndentedPara"/>
        <w:rPr>
          <w:sz w:val="24"/>
          <w:szCs w:val="24"/>
        </w:rPr>
      </w:pPr>
      <w:r w:rsidRPr="00F43A74">
        <w:rPr>
          <w:sz w:val="24"/>
          <w:szCs w:val="24"/>
        </w:rPr>
        <w:t>The objects of these Supplementary Rules are to</w:t>
      </w:r>
      <w:r w:rsidR="004000A9" w:rsidRPr="00F43A74">
        <w:rPr>
          <w:sz w:val="24"/>
          <w:szCs w:val="24"/>
        </w:rPr>
        <w:t>—</w:t>
      </w:r>
    </w:p>
    <w:p w:rsidR="002A5CB8" w:rsidRPr="00F43A74" w:rsidRDefault="002A5CB8" w:rsidP="002A5CB8">
      <w:pPr>
        <w:pStyle w:val="Doublehangingindent"/>
        <w:numPr>
          <w:ilvl w:val="0"/>
          <w:numId w:val="3"/>
        </w:numPr>
        <w:rPr>
          <w:sz w:val="24"/>
          <w:szCs w:val="24"/>
          <w:lang w:val="en-US"/>
        </w:rPr>
      </w:pPr>
      <w:r w:rsidRPr="00F43A74">
        <w:rPr>
          <w:sz w:val="24"/>
          <w:szCs w:val="24"/>
          <w:lang w:val="en-US"/>
        </w:rPr>
        <w:t>regulate civil proceedings in the Court;</w:t>
      </w:r>
    </w:p>
    <w:p w:rsidR="002A5CB8" w:rsidRPr="00F43A74" w:rsidRDefault="002A5CB8" w:rsidP="002A5CB8">
      <w:pPr>
        <w:pStyle w:val="Doublehangingindent"/>
        <w:numPr>
          <w:ilvl w:val="0"/>
          <w:numId w:val="3"/>
        </w:numPr>
        <w:rPr>
          <w:sz w:val="24"/>
          <w:szCs w:val="24"/>
          <w:lang w:val="en-US"/>
        </w:rPr>
      </w:pPr>
      <w:r w:rsidRPr="00F43A74">
        <w:rPr>
          <w:sz w:val="24"/>
          <w:szCs w:val="24"/>
          <w:lang w:val="en-US"/>
        </w:rPr>
        <w:t>supplement the Rules;</w:t>
      </w:r>
    </w:p>
    <w:p w:rsidR="002A5CB8" w:rsidRPr="00F43A74" w:rsidRDefault="002A5CB8" w:rsidP="002A5CB8">
      <w:pPr>
        <w:pStyle w:val="Doublehangingindent"/>
        <w:rPr>
          <w:sz w:val="24"/>
          <w:szCs w:val="24"/>
          <w:lang w:val="en-US"/>
        </w:rPr>
      </w:pPr>
      <w:r w:rsidRPr="00F43A74">
        <w:rPr>
          <w:sz w:val="24"/>
          <w:szCs w:val="24"/>
          <w:lang w:val="en-US"/>
        </w:rPr>
        <w:t>(</w:t>
      </w:r>
      <w:r w:rsidR="008405FF">
        <w:rPr>
          <w:sz w:val="24"/>
          <w:szCs w:val="24"/>
          <w:lang w:val="en-US"/>
        </w:rPr>
        <w:t>c</w:t>
      </w:r>
      <w:r w:rsidRPr="00F43A74">
        <w:rPr>
          <w:sz w:val="24"/>
          <w:szCs w:val="24"/>
          <w:lang w:val="en-US"/>
        </w:rPr>
        <w:t>)</w:t>
      </w:r>
      <w:r w:rsidRPr="00F43A74">
        <w:rPr>
          <w:sz w:val="24"/>
          <w:szCs w:val="24"/>
          <w:lang w:val="en-US"/>
        </w:rPr>
        <w:tab/>
        <w:t>prescribe approved forms.</w:t>
      </w:r>
    </w:p>
    <w:p w:rsidR="00BD5B6F" w:rsidRDefault="009A6A0B" w:rsidP="00E302D5">
      <w:pPr>
        <w:pStyle w:val="Part"/>
      </w:pPr>
      <w:bookmarkStart w:id="39" w:name="_Toc431389455"/>
      <w:r>
        <w:t>Part 3—</w:t>
      </w:r>
      <w:r w:rsidR="00BD5B6F">
        <w:t>Interpretation</w:t>
      </w:r>
      <w:bookmarkEnd w:id="39"/>
    </w:p>
    <w:p w:rsidR="002229EA" w:rsidRPr="005B6098" w:rsidRDefault="002229EA" w:rsidP="002229EA">
      <w:pPr>
        <w:pStyle w:val="clausehead"/>
      </w:pPr>
      <w:bookmarkStart w:id="40" w:name="_Toc387746008"/>
      <w:bookmarkStart w:id="41" w:name="_Toc387757796"/>
      <w:bookmarkStart w:id="42" w:name="_Toc387833063"/>
      <w:bookmarkStart w:id="43" w:name="_Toc390417487"/>
      <w:bookmarkStart w:id="44" w:name="_Toc392832914"/>
      <w:bookmarkStart w:id="45" w:name="_Toc394919022"/>
      <w:bookmarkStart w:id="46" w:name="_Toc394929053"/>
      <w:bookmarkStart w:id="47" w:name="_Toc396129484"/>
      <w:bookmarkStart w:id="48" w:name="_Toc396831144"/>
      <w:bookmarkStart w:id="49" w:name="_Toc431389456"/>
      <w:r w:rsidRPr="005B6098">
        <w:t>4</w:t>
      </w:r>
      <w:r w:rsidR="006165F9">
        <w:t>—</w:t>
      </w:r>
      <w:r w:rsidRPr="005B6098">
        <w:t>Interpretation</w:t>
      </w:r>
      <w:bookmarkEnd w:id="40"/>
      <w:bookmarkEnd w:id="41"/>
      <w:bookmarkEnd w:id="42"/>
      <w:bookmarkEnd w:id="43"/>
      <w:bookmarkEnd w:id="44"/>
      <w:bookmarkEnd w:id="45"/>
      <w:bookmarkEnd w:id="46"/>
      <w:bookmarkEnd w:id="47"/>
      <w:bookmarkEnd w:id="48"/>
      <w:bookmarkEnd w:id="49"/>
    </w:p>
    <w:p w:rsidR="002229EA" w:rsidRPr="00F43A74" w:rsidRDefault="002229EA" w:rsidP="004A6CD8">
      <w:pPr>
        <w:pStyle w:val="Hangindent"/>
        <w:rPr>
          <w:sz w:val="24"/>
          <w:szCs w:val="24"/>
          <w:lang w:val="en-US"/>
        </w:rPr>
      </w:pPr>
      <w:r w:rsidRPr="00F43A74">
        <w:rPr>
          <w:sz w:val="24"/>
          <w:szCs w:val="24"/>
          <w:lang w:val="en-US"/>
        </w:rPr>
        <w:t>(1)</w:t>
      </w:r>
      <w:r w:rsidRPr="00F43A74">
        <w:rPr>
          <w:sz w:val="24"/>
          <w:szCs w:val="24"/>
          <w:lang w:val="en-US"/>
        </w:rPr>
        <w:tab/>
      </w:r>
      <w:r w:rsidR="007D019C" w:rsidRPr="00F43A74">
        <w:rPr>
          <w:sz w:val="24"/>
          <w:szCs w:val="24"/>
          <w:lang w:val="en-US"/>
        </w:rPr>
        <w:t>U</w:t>
      </w:r>
      <w:r w:rsidRPr="00F43A74">
        <w:rPr>
          <w:sz w:val="24"/>
          <w:szCs w:val="24"/>
          <w:lang w:val="en-US"/>
        </w:rPr>
        <w:t>nless the contrary intention appears,</w:t>
      </w:r>
      <w:r w:rsidR="00FD7119" w:rsidRPr="00F43A74">
        <w:rPr>
          <w:sz w:val="24"/>
          <w:szCs w:val="24"/>
          <w:lang w:val="en-US"/>
        </w:rPr>
        <w:t xml:space="preserve"> a</w:t>
      </w:r>
      <w:r w:rsidRPr="00F43A74">
        <w:rPr>
          <w:sz w:val="24"/>
          <w:szCs w:val="24"/>
          <w:lang w:val="en-US"/>
        </w:rPr>
        <w:t xml:space="preserve"> </w:t>
      </w:r>
      <w:r w:rsidR="00853330" w:rsidRPr="00F43A74">
        <w:rPr>
          <w:sz w:val="24"/>
          <w:szCs w:val="24"/>
          <w:lang w:val="en-US"/>
        </w:rPr>
        <w:t xml:space="preserve">term defined </w:t>
      </w:r>
      <w:r w:rsidR="00FD7119" w:rsidRPr="00F43A74">
        <w:rPr>
          <w:sz w:val="24"/>
          <w:szCs w:val="24"/>
          <w:lang w:val="en-US"/>
        </w:rPr>
        <w:t>in</w:t>
      </w:r>
      <w:r w:rsidR="00853330" w:rsidRPr="00F43A74">
        <w:rPr>
          <w:sz w:val="24"/>
          <w:szCs w:val="24"/>
          <w:lang w:val="en-US"/>
        </w:rPr>
        <w:t xml:space="preserve"> the </w:t>
      </w:r>
      <w:r w:rsidR="000B7EB5" w:rsidRPr="00F43A74">
        <w:rPr>
          <w:i/>
          <w:sz w:val="24"/>
          <w:szCs w:val="24"/>
          <w:lang w:val="en-US"/>
        </w:rPr>
        <w:t>Land and Valuation Division Rules 2014</w:t>
      </w:r>
      <w:r w:rsidR="00853330" w:rsidRPr="00F43A74">
        <w:rPr>
          <w:sz w:val="24"/>
          <w:szCs w:val="24"/>
          <w:lang w:val="en-US"/>
        </w:rPr>
        <w:t xml:space="preserve"> ha</w:t>
      </w:r>
      <w:r w:rsidR="00FD7119" w:rsidRPr="00F43A74">
        <w:rPr>
          <w:sz w:val="24"/>
          <w:szCs w:val="24"/>
          <w:lang w:val="en-US"/>
        </w:rPr>
        <w:t>s</w:t>
      </w:r>
      <w:r w:rsidR="000B7EB5" w:rsidRPr="00F43A74">
        <w:rPr>
          <w:sz w:val="24"/>
          <w:szCs w:val="24"/>
          <w:lang w:val="en-US"/>
        </w:rPr>
        <w:t xml:space="preserve"> the meaning defined by those R</w:t>
      </w:r>
      <w:r w:rsidR="00853330" w:rsidRPr="00F43A74">
        <w:rPr>
          <w:sz w:val="24"/>
          <w:szCs w:val="24"/>
          <w:lang w:val="en-US"/>
        </w:rPr>
        <w:t>ules.</w:t>
      </w:r>
    </w:p>
    <w:p w:rsidR="002229EA" w:rsidRPr="00F43A74" w:rsidRDefault="002229EA" w:rsidP="00722492">
      <w:pPr>
        <w:pStyle w:val="Hangindent"/>
        <w:rPr>
          <w:sz w:val="24"/>
          <w:szCs w:val="24"/>
          <w:lang w:val="en-US"/>
        </w:rPr>
      </w:pPr>
      <w:r w:rsidRPr="00F43A74">
        <w:rPr>
          <w:sz w:val="24"/>
          <w:szCs w:val="24"/>
          <w:lang w:val="en-US"/>
        </w:rPr>
        <w:t>(2)</w:t>
      </w:r>
      <w:r w:rsidRPr="00F43A74">
        <w:rPr>
          <w:sz w:val="24"/>
          <w:szCs w:val="24"/>
          <w:lang w:val="en-US"/>
        </w:rPr>
        <w:tab/>
        <w:t xml:space="preserve">In these </w:t>
      </w:r>
      <w:r w:rsidR="002A5CB8" w:rsidRPr="00F43A74">
        <w:rPr>
          <w:sz w:val="24"/>
          <w:szCs w:val="24"/>
        </w:rPr>
        <w:t>Supplementary Rules</w:t>
      </w:r>
      <w:r w:rsidRPr="00F43A74">
        <w:rPr>
          <w:sz w:val="24"/>
          <w:szCs w:val="24"/>
          <w:lang w:val="en-US"/>
        </w:rPr>
        <w:t>, unless the contrary intention appears</w:t>
      </w:r>
      <w:r w:rsidR="000B7EB5" w:rsidRPr="00F43A74">
        <w:rPr>
          <w:sz w:val="24"/>
          <w:szCs w:val="24"/>
          <w:lang w:val="en-US"/>
        </w:rPr>
        <w:t>—</w:t>
      </w:r>
    </w:p>
    <w:p w:rsidR="002229EA" w:rsidRPr="00F43A74" w:rsidRDefault="002229EA" w:rsidP="004A6CD8">
      <w:pPr>
        <w:pStyle w:val="IndentedPara"/>
        <w:ind w:left="1418"/>
        <w:rPr>
          <w:sz w:val="24"/>
          <w:szCs w:val="24"/>
        </w:rPr>
      </w:pPr>
      <w:r w:rsidRPr="00F43A74">
        <w:rPr>
          <w:b/>
          <w:i/>
          <w:sz w:val="24"/>
          <w:szCs w:val="24"/>
        </w:rPr>
        <w:t>Land and Valuation Division Rules</w:t>
      </w:r>
      <w:r w:rsidRPr="00F43A74">
        <w:rPr>
          <w:b/>
          <w:sz w:val="24"/>
          <w:szCs w:val="24"/>
        </w:rPr>
        <w:t xml:space="preserve"> </w:t>
      </w:r>
      <w:r w:rsidRPr="00F43A74">
        <w:rPr>
          <w:sz w:val="24"/>
          <w:szCs w:val="24"/>
        </w:rPr>
        <w:t xml:space="preserve">or </w:t>
      </w:r>
      <w:r w:rsidRPr="00F43A74">
        <w:rPr>
          <w:b/>
          <w:i/>
          <w:sz w:val="24"/>
          <w:szCs w:val="24"/>
        </w:rPr>
        <w:t>the Rules</w:t>
      </w:r>
      <w:r w:rsidRPr="00F43A74">
        <w:rPr>
          <w:b/>
          <w:sz w:val="24"/>
          <w:szCs w:val="24"/>
        </w:rPr>
        <w:t xml:space="preserve"> </w:t>
      </w:r>
      <w:r w:rsidR="00DF6008" w:rsidRPr="00F43A74">
        <w:rPr>
          <w:sz w:val="24"/>
          <w:szCs w:val="24"/>
        </w:rPr>
        <w:t xml:space="preserve">means the </w:t>
      </w:r>
      <w:r w:rsidR="00DF6008" w:rsidRPr="00F43A74">
        <w:rPr>
          <w:i/>
          <w:sz w:val="24"/>
          <w:szCs w:val="24"/>
        </w:rPr>
        <w:t>Land and Valuation Division Rules</w:t>
      </w:r>
      <w:r w:rsidR="005B6098" w:rsidRPr="00F43A74">
        <w:rPr>
          <w:i/>
          <w:sz w:val="24"/>
          <w:szCs w:val="24"/>
        </w:rPr>
        <w:t xml:space="preserve"> 2014</w:t>
      </w:r>
      <w:r w:rsidR="005B6098" w:rsidRPr="00F43A74">
        <w:rPr>
          <w:sz w:val="24"/>
          <w:szCs w:val="24"/>
        </w:rPr>
        <w:t>.</w:t>
      </w:r>
    </w:p>
    <w:p w:rsidR="005B6098" w:rsidRDefault="009A6A0B" w:rsidP="00E302D5">
      <w:pPr>
        <w:pStyle w:val="Part"/>
      </w:pPr>
      <w:bookmarkStart w:id="50" w:name="_Toc431389457"/>
      <w:r>
        <w:t>Part 4—</w:t>
      </w:r>
      <w:r w:rsidR="005B6098">
        <w:t>Ap</w:t>
      </w:r>
      <w:r w:rsidR="00333BE1">
        <w:t>plication</w:t>
      </w:r>
      <w:r w:rsidR="00D22118">
        <w:t xml:space="preserve"> </w:t>
      </w:r>
      <w:r w:rsidR="004A6CD8">
        <w:t xml:space="preserve">of </w:t>
      </w:r>
      <w:r w:rsidR="002A5CB8">
        <w:t>Supplementary Rules</w:t>
      </w:r>
      <w:bookmarkEnd w:id="50"/>
    </w:p>
    <w:p w:rsidR="005B6098" w:rsidRPr="005B6098" w:rsidRDefault="009A6A0B" w:rsidP="005B6098">
      <w:pPr>
        <w:pStyle w:val="clausehead"/>
      </w:pPr>
      <w:bookmarkStart w:id="51" w:name="_Toc387746009"/>
      <w:bookmarkStart w:id="52" w:name="_Toc387757797"/>
      <w:bookmarkStart w:id="53" w:name="_Toc387833064"/>
      <w:bookmarkStart w:id="54" w:name="_Toc390417488"/>
      <w:bookmarkStart w:id="55" w:name="_Toc392832915"/>
      <w:bookmarkStart w:id="56" w:name="_Toc394919023"/>
      <w:bookmarkStart w:id="57" w:name="_Toc394929054"/>
      <w:bookmarkStart w:id="58" w:name="_Toc396129485"/>
      <w:bookmarkStart w:id="59" w:name="_Toc396831145"/>
      <w:bookmarkStart w:id="60" w:name="_Toc431389458"/>
      <w:r>
        <w:t>5</w:t>
      </w:r>
      <w:r w:rsidR="006165F9">
        <w:t>—</w:t>
      </w:r>
      <w:r w:rsidR="005B6098" w:rsidRPr="005B6098">
        <w:t>Ap</w:t>
      </w:r>
      <w:r w:rsidR="00333BE1">
        <w:t>plication</w:t>
      </w:r>
      <w:r w:rsidR="004A6CD8">
        <w:t xml:space="preserve"> of </w:t>
      </w:r>
      <w:bookmarkEnd w:id="51"/>
      <w:bookmarkEnd w:id="52"/>
      <w:bookmarkEnd w:id="53"/>
      <w:r w:rsidR="002A5CB8">
        <w:t>Supplementary Rules</w:t>
      </w:r>
      <w:bookmarkEnd w:id="54"/>
      <w:bookmarkEnd w:id="55"/>
      <w:bookmarkEnd w:id="56"/>
      <w:bookmarkEnd w:id="57"/>
      <w:bookmarkEnd w:id="58"/>
      <w:bookmarkEnd w:id="59"/>
      <w:bookmarkEnd w:id="60"/>
    </w:p>
    <w:p w:rsidR="005B6098" w:rsidRDefault="005B6098" w:rsidP="005B68D5">
      <w:pPr>
        <w:pStyle w:val="Hangindent"/>
        <w:rPr>
          <w:sz w:val="24"/>
          <w:szCs w:val="24"/>
          <w:lang w:val="en-US"/>
        </w:rPr>
      </w:pPr>
      <w:r w:rsidRPr="00F43A74">
        <w:rPr>
          <w:sz w:val="24"/>
          <w:szCs w:val="24"/>
          <w:lang w:val="en-US"/>
        </w:rPr>
        <w:t>(1)</w:t>
      </w:r>
      <w:r w:rsidRPr="00F43A74">
        <w:rPr>
          <w:sz w:val="24"/>
          <w:szCs w:val="24"/>
          <w:lang w:val="en-US"/>
        </w:rPr>
        <w:tab/>
        <w:t>These</w:t>
      </w:r>
      <w:r w:rsidR="003A2B23" w:rsidRPr="00F43A74">
        <w:rPr>
          <w:sz w:val="24"/>
          <w:szCs w:val="24"/>
          <w:lang w:val="en-US"/>
        </w:rPr>
        <w:t xml:space="preserve"> </w:t>
      </w:r>
      <w:r w:rsidR="002A5CB8" w:rsidRPr="00F43A74">
        <w:rPr>
          <w:sz w:val="24"/>
          <w:szCs w:val="24"/>
        </w:rPr>
        <w:t>Supplementary Rules</w:t>
      </w:r>
      <w:r w:rsidRPr="00F43A74">
        <w:rPr>
          <w:sz w:val="24"/>
          <w:szCs w:val="24"/>
          <w:lang w:val="en-US"/>
        </w:rPr>
        <w:t xml:space="preserve"> apply to proceedings in the Court.</w:t>
      </w:r>
    </w:p>
    <w:p w:rsidR="008405FF" w:rsidRDefault="008405FF" w:rsidP="008405FF">
      <w:pPr>
        <w:pStyle w:val="Hangindent"/>
        <w:rPr>
          <w:sz w:val="24"/>
          <w:szCs w:val="24"/>
          <w:lang w:val="en-US"/>
        </w:rPr>
      </w:pPr>
      <w:r w:rsidRPr="00F43A74">
        <w:rPr>
          <w:sz w:val="24"/>
          <w:szCs w:val="24"/>
          <w:lang w:val="en-US"/>
        </w:rPr>
        <w:t>(</w:t>
      </w:r>
      <w:r>
        <w:rPr>
          <w:sz w:val="24"/>
          <w:szCs w:val="24"/>
          <w:lang w:val="en-US"/>
        </w:rPr>
        <w:t>2</w:t>
      </w:r>
      <w:r w:rsidRPr="00F43A74">
        <w:rPr>
          <w:sz w:val="24"/>
          <w:szCs w:val="24"/>
          <w:lang w:val="en-US"/>
        </w:rPr>
        <w:t>)</w:t>
      </w:r>
      <w:r w:rsidRPr="00F43A74">
        <w:rPr>
          <w:sz w:val="24"/>
          <w:szCs w:val="24"/>
          <w:lang w:val="en-US"/>
        </w:rPr>
        <w:tab/>
        <w:t>Subject to paragraph (</w:t>
      </w:r>
      <w:r>
        <w:rPr>
          <w:sz w:val="24"/>
          <w:szCs w:val="24"/>
          <w:lang w:val="en-US"/>
        </w:rPr>
        <w:t>3</w:t>
      </w:r>
      <w:r w:rsidRPr="00F43A74">
        <w:rPr>
          <w:sz w:val="24"/>
          <w:szCs w:val="24"/>
          <w:lang w:val="en-US"/>
        </w:rPr>
        <w:t xml:space="preserve">), the </w:t>
      </w:r>
      <w:r w:rsidRPr="00F43A74">
        <w:rPr>
          <w:i/>
          <w:sz w:val="24"/>
          <w:szCs w:val="24"/>
          <w:lang w:val="en-US"/>
        </w:rPr>
        <w:t>Supreme Court Civil S</w:t>
      </w:r>
      <w:r w:rsidRPr="00F43A74">
        <w:rPr>
          <w:i/>
          <w:sz w:val="24"/>
          <w:szCs w:val="24"/>
        </w:rPr>
        <w:t>upplementary Rules 2014</w:t>
      </w:r>
      <w:r w:rsidRPr="00F43A74">
        <w:rPr>
          <w:sz w:val="24"/>
          <w:szCs w:val="24"/>
        </w:rPr>
        <w:t xml:space="preserve"> </w:t>
      </w:r>
      <w:r w:rsidRPr="00F43A74">
        <w:rPr>
          <w:sz w:val="24"/>
          <w:szCs w:val="24"/>
          <w:lang w:val="en-US"/>
        </w:rPr>
        <w:t>apply to actions in the Court.</w:t>
      </w:r>
    </w:p>
    <w:p w:rsidR="005B6098" w:rsidRPr="00F43A74" w:rsidRDefault="005B6098" w:rsidP="005B68D5">
      <w:pPr>
        <w:pStyle w:val="Hangindent"/>
        <w:rPr>
          <w:sz w:val="24"/>
          <w:szCs w:val="24"/>
          <w:lang w:val="en-US"/>
        </w:rPr>
      </w:pPr>
      <w:r w:rsidRPr="00F43A74">
        <w:rPr>
          <w:sz w:val="24"/>
          <w:szCs w:val="24"/>
          <w:lang w:val="en-US"/>
        </w:rPr>
        <w:t>(</w:t>
      </w:r>
      <w:r w:rsidR="008405FF">
        <w:rPr>
          <w:sz w:val="24"/>
          <w:szCs w:val="24"/>
          <w:lang w:val="en-US"/>
        </w:rPr>
        <w:t>3</w:t>
      </w:r>
      <w:r w:rsidRPr="00F43A74">
        <w:rPr>
          <w:sz w:val="24"/>
          <w:szCs w:val="24"/>
          <w:lang w:val="en-US"/>
        </w:rPr>
        <w:t>)</w:t>
      </w:r>
      <w:r w:rsidRPr="00F43A74">
        <w:rPr>
          <w:sz w:val="24"/>
          <w:szCs w:val="24"/>
          <w:lang w:val="en-US"/>
        </w:rPr>
        <w:tab/>
        <w:t xml:space="preserve">To the extent of any inconsistency between these </w:t>
      </w:r>
      <w:r w:rsidR="002A5CB8" w:rsidRPr="00F43A74">
        <w:rPr>
          <w:sz w:val="24"/>
          <w:szCs w:val="24"/>
        </w:rPr>
        <w:t>Supplementary Rules</w:t>
      </w:r>
      <w:r w:rsidRPr="00F43A74">
        <w:rPr>
          <w:sz w:val="24"/>
          <w:szCs w:val="24"/>
          <w:lang w:val="en-US"/>
        </w:rPr>
        <w:t xml:space="preserve"> and </w:t>
      </w:r>
      <w:r w:rsidR="000B7EB5" w:rsidRPr="00F43A74">
        <w:rPr>
          <w:sz w:val="24"/>
          <w:szCs w:val="24"/>
          <w:lang w:val="en-US"/>
        </w:rPr>
        <w:t xml:space="preserve">the </w:t>
      </w:r>
      <w:r w:rsidR="000B7EB5" w:rsidRPr="00F43A74">
        <w:rPr>
          <w:i/>
          <w:sz w:val="24"/>
          <w:szCs w:val="24"/>
          <w:lang w:val="en-US"/>
        </w:rPr>
        <w:t xml:space="preserve">Supreme Court Civil </w:t>
      </w:r>
      <w:r w:rsidR="000B7EB5" w:rsidRPr="00F43A74">
        <w:rPr>
          <w:i/>
          <w:sz w:val="24"/>
          <w:szCs w:val="24"/>
        </w:rPr>
        <w:t>Supplementary</w:t>
      </w:r>
      <w:r w:rsidR="002A5CB8" w:rsidRPr="00F43A74">
        <w:rPr>
          <w:i/>
          <w:sz w:val="24"/>
          <w:szCs w:val="24"/>
        </w:rPr>
        <w:t xml:space="preserve"> </w:t>
      </w:r>
      <w:r w:rsidR="000B7EB5" w:rsidRPr="00F43A74">
        <w:rPr>
          <w:i/>
          <w:sz w:val="24"/>
          <w:szCs w:val="24"/>
        </w:rPr>
        <w:t>R</w:t>
      </w:r>
      <w:r w:rsidR="002A5CB8" w:rsidRPr="00F43A74">
        <w:rPr>
          <w:i/>
          <w:sz w:val="24"/>
          <w:szCs w:val="24"/>
        </w:rPr>
        <w:t xml:space="preserve">ules </w:t>
      </w:r>
      <w:r w:rsidR="000B7EB5" w:rsidRPr="00F43A74">
        <w:rPr>
          <w:i/>
          <w:sz w:val="24"/>
          <w:szCs w:val="24"/>
        </w:rPr>
        <w:t>2014</w:t>
      </w:r>
      <w:r w:rsidRPr="00F43A74">
        <w:rPr>
          <w:sz w:val="24"/>
          <w:szCs w:val="24"/>
          <w:lang w:val="en-US"/>
        </w:rPr>
        <w:t xml:space="preserve">, these </w:t>
      </w:r>
      <w:r w:rsidR="002A5CB8" w:rsidRPr="00F43A74">
        <w:rPr>
          <w:sz w:val="24"/>
          <w:szCs w:val="24"/>
        </w:rPr>
        <w:t>Supplementary Rules</w:t>
      </w:r>
      <w:r w:rsidRPr="00F43A74">
        <w:rPr>
          <w:sz w:val="24"/>
          <w:szCs w:val="24"/>
          <w:lang w:val="en-US"/>
        </w:rPr>
        <w:t xml:space="preserve"> prevail.</w:t>
      </w:r>
    </w:p>
    <w:p w:rsidR="000D55D5" w:rsidRDefault="009A6A0B" w:rsidP="00E302D5">
      <w:pPr>
        <w:pStyle w:val="Part"/>
      </w:pPr>
      <w:bookmarkStart w:id="61" w:name="_Toc431389459"/>
      <w:r>
        <w:t>Part 5—</w:t>
      </w:r>
      <w:r w:rsidR="000D55D5">
        <w:t>Repeal</w:t>
      </w:r>
      <w:r w:rsidR="00FD7119">
        <w:t xml:space="preserve"> and transitional provisions</w:t>
      </w:r>
      <w:bookmarkEnd w:id="61"/>
    </w:p>
    <w:p w:rsidR="000D55D5" w:rsidRDefault="009A6A0B" w:rsidP="000D55D5">
      <w:pPr>
        <w:pStyle w:val="clausehead"/>
      </w:pPr>
      <w:bookmarkStart w:id="62" w:name="_Toc387746010"/>
      <w:bookmarkStart w:id="63" w:name="_Toc387757798"/>
      <w:bookmarkStart w:id="64" w:name="_Toc387833065"/>
      <w:bookmarkStart w:id="65" w:name="_Toc390417489"/>
      <w:bookmarkStart w:id="66" w:name="_Toc392832916"/>
      <w:bookmarkStart w:id="67" w:name="_Toc394919024"/>
      <w:bookmarkStart w:id="68" w:name="_Toc394929055"/>
      <w:bookmarkStart w:id="69" w:name="_Toc396129486"/>
      <w:bookmarkStart w:id="70" w:name="_Toc396831146"/>
      <w:bookmarkStart w:id="71" w:name="_Toc431389460"/>
      <w:r>
        <w:t>6</w:t>
      </w:r>
      <w:r w:rsidR="006165F9">
        <w:t>—</w:t>
      </w:r>
      <w:bookmarkEnd w:id="62"/>
      <w:bookmarkEnd w:id="63"/>
      <w:bookmarkEnd w:id="64"/>
      <w:bookmarkEnd w:id="65"/>
      <w:bookmarkEnd w:id="66"/>
      <w:bookmarkEnd w:id="67"/>
      <w:bookmarkEnd w:id="68"/>
      <w:r w:rsidR="008405FF">
        <w:t>Repeal and transition</w:t>
      </w:r>
      <w:bookmarkEnd w:id="69"/>
      <w:bookmarkEnd w:id="70"/>
      <w:bookmarkEnd w:id="71"/>
    </w:p>
    <w:p w:rsidR="00BE3AA2" w:rsidRPr="00D37CD0" w:rsidRDefault="00BE3AA2" w:rsidP="00BE3AA2">
      <w:pPr>
        <w:pStyle w:val="Hangindent"/>
        <w:rPr>
          <w:sz w:val="24"/>
          <w:szCs w:val="24"/>
          <w:lang w:val="en-US"/>
        </w:rPr>
      </w:pPr>
      <w:r w:rsidRPr="00D37CD0">
        <w:rPr>
          <w:sz w:val="24"/>
          <w:szCs w:val="24"/>
          <w:lang w:val="en-US"/>
        </w:rPr>
        <w:t>(1)</w:t>
      </w:r>
      <w:r w:rsidRPr="00D37CD0">
        <w:rPr>
          <w:sz w:val="24"/>
          <w:szCs w:val="24"/>
          <w:lang w:val="en-US"/>
        </w:rPr>
        <w:tab/>
        <w:t>Unless the Court otherwise directs, these Supplementary Rules apply to—</w:t>
      </w:r>
    </w:p>
    <w:p w:rsidR="00BE3AA2" w:rsidRPr="00D37CD0" w:rsidRDefault="00BE3AA2" w:rsidP="00BE3AA2">
      <w:pPr>
        <w:pStyle w:val="Doublehangingindent"/>
        <w:rPr>
          <w:sz w:val="24"/>
          <w:szCs w:val="24"/>
          <w:lang w:val="en-US"/>
        </w:rPr>
      </w:pPr>
      <w:r w:rsidRPr="00D37CD0">
        <w:rPr>
          <w:sz w:val="24"/>
          <w:szCs w:val="24"/>
          <w:lang w:val="en-US"/>
        </w:rPr>
        <w:t>(a)</w:t>
      </w:r>
      <w:r w:rsidRPr="00D37CD0">
        <w:rPr>
          <w:sz w:val="24"/>
          <w:szCs w:val="24"/>
          <w:lang w:val="en-US"/>
        </w:rPr>
        <w:tab/>
        <w:t>proceedings commenced on or after the commencement date; and</w:t>
      </w:r>
    </w:p>
    <w:p w:rsidR="00BE3AA2" w:rsidRPr="00D37CD0" w:rsidRDefault="00BE3AA2" w:rsidP="00BE3AA2">
      <w:pPr>
        <w:pStyle w:val="Doublehangingindent"/>
        <w:rPr>
          <w:sz w:val="24"/>
          <w:szCs w:val="24"/>
          <w:lang w:val="en-US"/>
        </w:rPr>
      </w:pPr>
      <w:r w:rsidRPr="00D37CD0">
        <w:rPr>
          <w:sz w:val="24"/>
          <w:szCs w:val="24"/>
          <w:lang w:val="en-US"/>
        </w:rPr>
        <w:t>(b)</w:t>
      </w:r>
      <w:r w:rsidRPr="00D37CD0">
        <w:rPr>
          <w:sz w:val="24"/>
          <w:szCs w:val="24"/>
          <w:lang w:val="en-US"/>
        </w:rPr>
        <w:tab/>
        <w:t>steps taken or required to be taken or matters occurring on or after the commencement date in proceedings commenced before the commencement date.</w:t>
      </w:r>
    </w:p>
    <w:p w:rsidR="00CA58D9" w:rsidRDefault="00CA58D9" w:rsidP="00CA58D9">
      <w:pPr>
        <w:pStyle w:val="Hangindent"/>
        <w:rPr>
          <w:sz w:val="24"/>
          <w:szCs w:val="24"/>
        </w:rPr>
      </w:pPr>
      <w:r>
        <w:rPr>
          <w:sz w:val="24"/>
          <w:szCs w:val="24"/>
        </w:rPr>
        <w:t>(2)</w:t>
      </w:r>
      <w:r>
        <w:rPr>
          <w:sz w:val="24"/>
          <w:szCs w:val="24"/>
        </w:rPr>
        <w:tab/>
      </w:r>
      <w:r w:rsidRPr="00F43A74">
        <w:rPr>
          <w:sz w:val="24"/>
          <w:szCs w:val="24"/>
        </w:rPr>
        <w:t xml:space="preserve">All practice directions and practice notes issued under the </w:t>
      </w:r>
      <w:r w:rsidRPr="00F43A74">
        <w:rPr>
          <w:i/>
          <w:sz w:val="24"/>
          <w:szCs w:val="24"/>
        </w:rPr>
        <w:t>Land and Valuation Division Rules 1978</w:t>
      </w:r>
      <w:r w:rsidRPr="00F43A74">
        <w:rPr>
          <w:sz w:val="24"/>
          <w:szCs w:val="24"/>
        </w:rPr>
        <w:t xml:space="preserve"> are superseded by these Supplementary Rules. </w:t>
      </w:r>
    </w:p>
    <w:p w:rsidR="00CA58D9" w:rsidRDefault="00A017FF" w:rsidP="00CA58D9">
      <w:pPr>
        <w:pStyle w:val="Hangindent"/>
        <w:rPr>
          <w:sz w:val="24"/>
          <w:szCs w:val="24"/>
        </w:rPr>
      </w:pPr>
      <w:r>
        <w:rPr>
          <w:sz w:val="24"/>
          <w:szCs w:val="24"/>
        </w:rPr>
        <w:t>(3</w:t>
      </w:r>
      <w:r w:rsidR="00CA58D9" w:rsidRPr="008A1CB7">
        <w:rPr>
          <w:sz w:val="24"/>
          <w:szCs w:val="24"/>
        </w:rPr>
        <w:t>)</w:t>
      </w:r>
      <w:r w:rsidR="00CA58D9" w:rsidRPr="008A1CB7">
        <w:rPr>
          <w:sz w:val="24"/>
          <w:szCs w:val="24"/>
        </w:rPr>
        <w:tab/>
        <w:t xml:space="preserve">The Court may give directions about which rule applies to a transitional proceeding or a particular step in a transitional proceeding. </w:t>
      </w:r>
    </w:p>
    <w:p w:rsidR="005B6098" w:rsidRDefault="00286083" w:rsidP="00286083">
      <w:pPr>
        <w:pStyle w:val="Chapter"/>
      </w:pPr>
      <w:r>
        <w:rPr>
          <w:sz w:val="24"/>
          <w:szCs w:val="24"/>
        </w:rPr>
        <w:br w:type="page"/>
      </w:r>
      <w:bookmarkStart w:id="72" w:name="_Toc431389461"/>
      <w:r w:rsidR="009A6A0B">
        <w:t>Chapter 2—</w:t>
      </w:r>
      <w:r w:rsidR="005B6098">
        <w:t>General proc</w:t>
      </w:r>
      <w:r w:rsidR="004A6CD8">
        <w:t>edural rules and allocation of C</w:t>
      </w:r>
      <w:r w:rsidR="005B6098">
        <w:t>ourt business</w:t>
      </w:r>
      <w:bookmarkEnd w:id="72"/>
    </w:p>
    <w:p w:rsidR="005B6098" w:rsidRDefault="00F326FB" w:rsidP="005B68D5">
      <w:pPr>
        <w:pStyle w:val="IndentedPara"/>
        <w:rPr>
          <w:sz w:val="24"/>
          <w:szCs w:val="24"/>
        </w:rPr>
      </w:pPr>
      <w:r w:rsidRPr="00F43A74">
        <w:rPr>
          <w:sz w:val="24"/>
          <w:szCs w:val="24"/>
        </w:rPr>
        <w:t>[</w:t>
      </w:r>
      <w:r w:rsidRPr="00F43A74">
        <w:rPr>
          <w:i/>
          <w:sz w:val="24"/>
          <w:szCs w:val="24"/>
        </w:rPr>
        <w:t>no supplementary rules</w:t>
      </w:r>
      <w:r w:rsidRPr="00F43A74">
        <w:rPr>
          <w:sz w:val="24"/>
          <w:szCs w:val="24"/>
        </w:rPr>
        <w:t>]</w:t>
      </w:r>
    </w:p>
    <w:p w:rsidR="005B6098" w:rsidRDefault="00DA0C95" w:rsidP="00D72F6F">
      <w:pPr>
        <w:pStyle w:val="Chapter"/>
      </w:pPr>
      <w:r>
        <w:br w:type="page"/>
      </w:r>
      <w:bookmarkStart w:id="73" w:name="_Toc431389462"/>
      <w:r w:rsidR="009A6A0B">
        <w:t>Chapter 3—</w:t>
      </w:r>
      <w:r w:rsidR="005B6098">
        <w:t>Elements of action at first instance</w:t>
      </w:r>
      <w:bookmarkEnd w:id="73"/>
    </w:p>
    <w:p w:rsidR="005B6098" w:rsidRDefault="009A6A0B" w:rsidP="00E302D5">
      <w:pPr>
        <w:pStyle w:val="Part"/>
      </w:pPr>
      <w:bookmarkStart w:id="74" w:name="_Toc431389463"/>
      <w:r>
        <w:t>Part 1—</w:t>
      </w:r>
      <w:r w:rsidR="005B6098">
        <w:t>Nature of action</w:t>
      </w:r>
      <w:bookmarkEnd w:id="74"/>
    </w:p>
    <w:p w:rsidR="005B6098" w:rsidRPr="00F43A74" w:rsidRDefault="005B6098" w:rsidP="005B68D5">
      <w:pPr>
        <w:pStyle w:val="IndentedPara"/>
        <w:rPr>
          <w:sz w:val="24"/>
          <w:szCs w:val="24"/>
        </w:rPr>
      </w:pPr>
      <w:r w:rsidRPr="00F43A74">
        <w:rPr>
          <w:sz w:val="24"/>
          <w:szCs w:val="24"/>
        </w:rPr>
        <w:t>[</w:t>
      </w:r>
      <w:r w:rsidRPr="00F43A74">
        <w:rPr>
          <w:i/>
          <w:sz w:val="24"/>
          <w:szCs w:val="24"/>
        </w:rPr>
        <w:t xml:space="preserve">no </w:t>
      </w:r>
      <w:r w:rsidR="002A5CB8" w:rsidRPr="00F43A74">
        <w:rPr>
          <w:i/>
          <w:sz w:val="24"/>
          <w:szCs w:val="24"/>
        </w:rPr>
        <w:t>supplementary rules</w:t>
      </w:r>
      <w:r w:rsidRPr="00F43A74">
        <w:rPr>
          <w:sz w:val="24"/>
          <w:szCs w:val="24"/>
        </w:rPr>
        <w:t>]</w:t>
      </w:r>
    </w:p>
    <w:p w:rsidR="005B6098" w:rsidRDefault="009A6A0B" w:rsidP="00E302D5">
      <w:pPr>
        <w:pStyle w:val="Part"/>
      </w:pPr>
      <w:bookmarkStart w:id="75" w:name="_Toc431389464"/>
      <w:r>
        <w:t>Part 2—</w:t>
      </w:r>
      <w:r w:rsidR="005B6098">
        <w:t>Proceedings in anticipation of action</w:t>
      </w:r>
      <w:bookmarkEnd w:id="75"/>
    </w:p>
    <w:p w:rsidR="002A5CB8" w:rsidRPr="00F43A74" w:rsidRDefault="002A5CB8" w:rsidP="002A5CB8">
      <w:pPr>
        <w:pStyle w:val="IndentedPara"/>
        <w:rPr>
          <w:sz w:val="24"/>
          <w:szCs w:val="24"/>
        </w:rPr>
      </w:pPr>
      <w:r w:rsidRPr="00F43A74">
        <w:rPr>
          <w:sz w:val="24"/>
          <w:szCs w:val="24"/>
        </w:rPr>
        <w:t>[</w:t>
      </w:r>
      <w:r w:rsidRPr="00F43A74">
        <w:rPr>
          <w:i/>
          <w:sz w:val="24"/>
          <w:szCs w:val="24"/>
        </w:rPr>
        <w:t>no supplementary rules</w:t>
      </w:r>
      <w:r w:rsidRPr="00F43A74">
        <w:rPr>
          <w:sz w:val="24"/>
          <w:szCs w:val="24"/>
        </w:rPr>
        <w:t>]</w:t>
      </w:r>
    </w:p>
    <w:p w:rsidR="005B6098" w:rsidRDefault="009A6A0B" w:rsidP="00E302D5">
      <w:pPr>
        <w:pStyle w:val="Part"/>
      </w:pPr>
      <w:bookmarkStart w:id="76" w:name="_Toc431389465"/>
      <w:r>
        <w:t>Part 3—</w:t>
      </w:r>
      <w:r w:rsidR="005B6098">
        <w:t>Commencement of action</w:t>
      </w:r>
      <w:bookmarkEnd w:id="76"/>
    </w:p>
    <w:p w:rsidR="00F2428C" w:rsidRDefault="00F2428C" w:rsidP="001527C5">
      <w:pPr>
        <w:pStyle w:val="Division"/>
      </w:pPr>
      <w:bookmarkStart w:id="77" w:name="_Toc431389466"/>
      <w:bookmarkStart w:id="78" w:name="_Toc386698016"/>
      <w:bookmarkStart w:id="79" w:name="_Toc387746011"/>
      <w:bookmarkStart w:id="80" w:name="_Toc387757799"/>
      <w:bookmarkStart w:id="81" w:name="_Toc387833066"/>
      <w:r w:rsidRPr="00F2428C">
        <w:rPr>
          <w:szCs w:val="28"/>
        </w:rPr>
        <w:t>Division 1</w:t>
      </w:r>
      <w:r w:rsidRPr="00F2428C">
        <w:t>—How action is commenced</w:t>
      </w:r>
      <w:bookmarkEnd w:id="77"/>
    </w:p>
    <w:p w:rsidR="0070232C" w:rsidRDefault="0070232C" w:rsidP="00876027">
      <w:pPr>
        <w:pStyle w:val="clausehead"/>
      </w:pPr>
      <w:bookmarkStart w:id="82" w:name="_Toc431389467"/>
      <w:r w:rsidRPr="0070232C">
        <w:t>6A—Commencement of action</w:t>
      </w:r>
      <w:bookmarkEnd w:id="82"/>
    </w:p>
    <w:p w:rsidR="00876027" w:rsidRPr="00DA69E7" w:rsidRDefault="00876027" w:rsidP="00876027">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[rule 6A inserted by Land and Valuation Division Supplementary Rules 2014 (Amendment No. 1)]</w:t>
      </w:r>
    </w:p>
    <w:p w:rsidR="0070232C" w:rsidRPr="0070232C" w:rsidRDefault="0070232C" w:rsidP="0070232C">
      <w:pPr>
        <w:pStyle w:val="Hangindent"/>
        <w:rPr>
          <w:sz w:val="24"/>
          <w:szCs w:val="24"/>
          <w:lang w:val="en-US"/>
        </w:rPr>
      </w:pPr>
      <w:r w:rsidRPr="0070232C">
        <w:rPr>
          <w:sz w:val="24"/>
          <w:szCs w:val="24"/>
          <w:lang w:val="en-US"/>
        </w:rPr>
        <w:t>(1)</w:t>
      </w:r>
      <w:r w:rsidRPr="0070232C">
        <w:rPr>
          <w:sz w:val="24"/>
          <w:szCs w:val="24"/>
          <w:lang w:val="en-US"/>
        </w:rPr>
        <w:tab/>
        <w:t>Subject to subrule (2), an application must, if a proceeding has not been started in the Court in relation to the acquisition, boundary or lodgment the subject of the application, be made by summons.</w:t>
      </w:r>
    </w:p>
    <w:p w:rsidR="0063596A" w:rsidRPr="0070232C" w:rsidRDefault="0070232C" w:rsidP="0070232C">
      <w:pPr>
        <w:pStyle w:val="Hangindent"/>
        <w:rPr>
          <w:sz w:val="24"/>
          <w:szCs w:val="24"/>
          <w:lang w:val="en-US"/>
        </w:rPr>
      </w:pPr>
      <w:r w:rsidRPr="0070232C">
        <w:rPr>
          <w:sz w:val="24"/>
          <w:szCs w:val="24"/>
          <w:lang w:val="en-US"/>
        </w:rPr>
        <w:t>(2)</w:t>
      </w:r>
      <w:r w:rsidRPr="0070232C">
        <w:rPr>
          <w:sz w:val="24"/>
          <w:szCs w:val="24"/>
          <w:lang w:val="en-US"/>
        </w:rPr>
        <w:tab/>
        <w:t>An application may, if a proceeding has been started in the Court in relation to the acquisition, boundary or lodgment the subject of the application, be made by interlocutory application (if by the plaintiff) or counterclaim (if by the defendant) which is to contain the substance of the relevant approved form (LVD 1, 2, 3 or 4) but otherwise be in the form of an interlocutory application or counterclaim prescribed under the General Civil Rules rather than a summons.</w:t>
      </w:r>
    </w:p>
    <w:p w:rsidR="00F2428C" w:rsidRDefault="00F2428C" w:rsidP="005A7E80">
      <w:pPr>
        <w:pStyle w:val="SubPart"/>
        <w:rPr>
          <w:sz w:val="28"/>
          <w:szCs w:val="28"/>
        </w:rPr>
      </w:pPr>
      <w:bookmarkStart w:id="83" w:name="_Toc390417490"/>
      <w:bookmarkStart w:id="84" w:name="_Toc392832917"/>
      <w:bookmarkStart w:id="85" w:name="_Toc394919025"/>
      <w:bookmarkStart w:id="86" w:name="_Toc394929056"/>
      <w:bookmarkStart w:id="87" w:name="_Toc396129487"/>
      <w:bookmarkStart w:id="88" w:name="_Toc431389468"/>
      <w:r w:rsidRPr="005A7E80">
        <w:rPr>
          <w:sz w:val="28"/>
          <w:szCs w:val="28"/>
        </w:rPr>
        <w:t>Subdivision 1—Ac</w:t>
      </w:r>
      <w:bookmarkEnd w:id="83"/>
      <w:bookmarkEnd w:id="84"/>
      <w:r w:rsidR="00082E97" w:rsidRPr="005A7E80">
        <w:rPr>
          <w:sz w:val="28"/>
          <w:szCs w:val="28"/>
        </w:rPr>
        <w:t xml:space="preserve">quisition and </w:t>
      </w:r>
      <w:r w:rsidR="0070232C">
        <w:rPr>
          <w:sz w:val="28"/>
          <w:szCs w:val="28"/>
        </w:rPr>
        <w:t>boundary</w:t>
      </w:r>
      <w:r w:rsidR="00082E97" w:rsidRPr="005A7E80">
        <w:rPr>
          <w:sz w:val="28"/>
          <w:szCs w:val="28"/>
        </w:rPr>
        <w:t xml:space="preserve"> actions</w:t>
      </w:r>
      <w:bookmarkEnd w:id="85"/>
      <w:bookmarkEnd w:id="86"/>
      <w:bookmarkEnd w:id="87"/>
      <w:bookmarkEnd w:id="88"/>
    </w:p>
    <w:p w:rsidR="00876027" w:rsidRPr="00DA69E7" w:rsidRDefault="00876027" w:rsidP="00876027">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[sub heading amended by Land and Valuation Division Supplementary Rules 2014 (Amendment No. 1)]</w:t>
      </w:r>
    </w:p>
    <w:p w:rsidR="00F2428C" w:rsidRPr="00F2428C" w:rsidRDefault="00F2428C" w:rsidP="00F2428C">
      <w:pPr>
        <w:pStyle w:val="clausehead"/>
      </w:pPr>
      <w:bookmarkStart w:id="89" w:name="_Toc390417491"/>
      <w:bookmarkStart w:id="90" w:name="_Toc392832918"/>
      <w:bookmarkStart w:id="91" w:name="_Toc394919026"/>
      <w:bookmarkStart w:id="92" w:name="_Toc394929057"/>
      <w:bookmarkStart w:id="93" w:name="_Toc396129488"/>
      <w:bookmarkStart w:id="94" w:name="_Toc396831147"/>
      <w:bookmarkStart w:id="95" w:name="_Toc431389469"/>
      <w:r w:rsidRPr="00F2428C">
        <w:t>7</w:t>
      </w:r>
      <w:r w:rsidR="00334CDE">
        <w:t>—</w:t>
      </w:r>
      <w:r w:rsidRPr="00F2428C">
        <w:t>Form of summons</w:t>
      </w:r>
      <w:bookmarkEnd w:id="78"/>
      <w:bookmarkEnd w:id="89"/>
      <w:bookmarkEnd w:id="90"/>
      <w:bookmarkEnd w:id="91"/>
      <w:bookmarkEnd w:id="92"/>
      <w:bookmarkEnd w:id="93"/>
      <w:bookmarkEnd w:id="94"/>
      <w:bookmarkEnd w:id="95"/>
      <w:r w:rsidRPr="00F2428C">
        <w:t xml:space="preserve"> </w:t>
      </w:r>
    </w:p>
    <w:p w:rsidR="00F2428C" w:rsidRPr="00F43A74" w:rsidRDefault="00F2428C" w:rsidP="00F2428C">
      <w:pPr>
        <w:pStyle w:val="Hangindent"/>
        <w:rPr>
          <w:sz w:val="24"/>
          <w:szCs w:val="24"/>
          <w:lang w:val="en-US"/>
        </w:rPr>
      </w:pPr>
      <w:r w:rsidRPr="00F43A74">
        <w:rPr>
          <w:sz w:val="24"/>
          <w:szCs w:val="24"/>
          <w:lang w:val="en-US"/>
        </w:rPr>
        <w:t>(1)</w:t>
      </w:r>
      <w:r w:rsidRPr="00F43A74">
        <w:rPr>
          <w:sz w:val="24"/>
          <w:szCs w:val="24"/>
          <w:lang w:val="en-US"/>
        </w:rPr>
        <w:tab/>
        <w:t xml:space="preserve">A summons in an acquisition action </w:t>
      </w:r>
      <w:r w:rsidR="007E59CA" w:rsidRPr="00F43A74">
        <w:rPr>
          <w:sz w:val="24"/>
          <w:szCs w:val="24"/>
          <w:lang w:val="en-US"/>
        </w:rPr>
        <w:t>under rule 13</w:t>
      </w:r>
      <w:r w:rsidR="006824BF" w:rsidRPr="00F43A74">
        <w:rPr>
          <w:sz w:val="24"/>
          <w:szCs w:val="24"/>
          <w:lang w:val="en-US"/>
        </w:rPr>
        <w:t xml:space="preserve"> </w:t>
      </w:r>
      <w:r w:rsidR="00BC55B5" w:rsidRPr="00F43A74">
        <w:rPr>
          <w:sz w:val="24"/>
          <w:szCs w:val="24"/>
          <w:lang w:val="en-US"/>
        </w:rPr>
        <w:t xml:space="preserve">of the Rules </w:t>
      </w:r>
      <w:r w:rsidRPr="00F43A74">
        <w:rPr>
          <w:sz w:val="24"/>
          <w:szCs w:val="24"/>
          <w:lang w:val="en-US"/>
        </w:rPr>
        <w:t>is to be in form LVD1.</w:t>
      </w:r>
    </w:p>
    <w:p w:rsidR="00876027" w:rsidRPr="00DA69E7" w:rsidRDefault="00876027" w:rsidP="00876027">
      <w:pPr>
        <w:keepLines/>
        <w:tabs>
          <w:tab w:val="center" w:pos="397"/>
          <w:tab w:val="left" w:pos="794"/>
        </w:tabs>
        <w:autoSpaceDE w:val="0"/>
        <w:autoSpaceDN w:val="0"/>
        <w:adjustRightInd w:val="0"/>
        <w:spacing w:before="120"/>
        <w:ind w:left="794" w:hanging="794"/>
        <w:rPr>
          <w:rFonts w:ascii="Arial" w:hAnsi="Arial" w:cs="Arial"/>
          <w:color w:val="808080"/>
          <w:sz w:val="18"/>
          <w:szCs w:val="26"/>
          <w:lang w:val="en-US"/>
        </w:rPr>
      </w:pPr>
      <w:r>
        <w:rPr>
          <w:rFonts w:ascii="Arial" w:hAnsi="Arial" w:cs="Arial"/>
          <w:color w:val="808080"/>
          <w:sz w:val="18"/>
          <w:szCs w:val="26"/>
          <w:lang w:val="en-US"/>
        </w:rPr>
        <w:t>[subrule 7(2) amended by Land and Valuation Division Supplementary Rules 2014 (Amendment No. 1)]</w:t>
      </w:r>
    </w:p>
    <w:p w:rsidR="00F2428C" w:rsidRDefault="00F2428C" w:rsidP="00876027">
      <w:pPr>
        <w:pStyle w:val="Hangindent"/>
        <w:spacing w:before="0"/>
        <w:rPr>
          <w:sz w:val="24"/>
          <w:szCs w:val="24"/>
          <w:lang w:val="en-US"/>
        </w:rPr>
      </w:pPr>
      <w:r w:rsidRPr="00F43A74">
        <w:rPr>
          <w:sz w:val="24"/>
          <w:szCs w:val="24"/>
          <w:lang w:val="en-US"/>
        </w:rPr>
        <w:t>(2)</w:t>
      </w:r>
      <w:r w:rsidRPr="00F43A74">
        <w:rPr>
          <w:sz w:val="24"/>
          <w:szCs w:val="24"/>
          <w:lang w:val="en-US"/>
        </w:rPr>
        <w:tab/>
        <w:t xml:space="preserve">A summons in a </w:t>
      </w:r>
      <w:r w:rsidR="0070232C">
        <w:rPr>
          <w:sz w:val="24"/>
          <w:szCs w:val="24"/>
          <w:lang w:val="en-US"/>
        </w:rPr>
        <w:t>boundary</w:t>
      </w:r>
      <w:r w:rsidRPr="00F43A74">
        <w:rPr>
          <w:sz w:val="24"/>
          <w:szCs w:val="24"/>
          <w:lang w:val="en-US"/>
        </w:rPr>
        <w:t xml:space="preserve"> action </w:t>
      </w:r>
      <w:r w:rsidR="007E59CA" w:rsidRPr="00F43A74">
        <w:rPr>
          <w:sz w:val="24"/>
          <w:szCs w:val="24"/>
          <w:lang w:val="en-US"/>
        </w:rPr>
        <w:t>under rule 14</w:t>
      </w:r>
      <w:r w:rsidR="00BC55B5" w:rsidRPr="00F43A74">
        <w:rPr>
          <w:sz w:val="24"/>
          <w:szCs w:val="24"/>
          <w:lang w:val="en-US"/>
        </w:rPr>
        <w:t xml:space="preserve"> of the Rules</w:t>
      </w:r>
      <w:r w:rsidR="006824BF" w:rsidRPr="00F43A74">
        <w:rPr>
          <w:sz w:val="24"/>
          <w:szCs w:val="24"/>
          <w:lang w:val="en-US"/>
        </w:rPr>
        <w:t xml:space="preserve"> </w:t>
      </w:r>
      <w:r w:rsidRPr="00F43A74">
        <w:rPr>
          <w:sz w:val="24"/>
          <w:szCs w:val="24"/>
          <w:lang w:val="en-US"/>
        </w:rPr>
        <w:t xml:space="preserve">is to be </w:t>
      </w:r>
      <w:r w:rsidR="000E4DB5" w:rsidRPr="00F43A74">
        <w:rPr>
          <w:sz w:val="24"/>
          <w:szCs w:val="24"/>
          <w:lang w:val="en-US"/>
        </w:rPr>
        <w:t>in form LVD2</w:t>
      </w:r>
      <w:r w:rsidRPr="00F43A74">
        <w:rPr>
          <w:sz w:val="24"/>
          <w:szCs w:val="24"/>
          <w:lang w:val="en-US"/>
        </w:rPr>
        <w:t>.</w:t>
      </w:r>
    </w:p>
    <w:p w:rsidR="0070232C" w:rsidRDefault="0070232C" w:rsidP="0070232C">
      <w:pPr>
        <w:pStyle w:val="clausehead"/>
      </w:pPr>
      <w:bookmarkStart w:id="96" w:name="_Toc431389470"/>
      <w:r w:rsidRPr="0070232C">
        <w:t>7A—Affidavit in lieu of pleading</w:t>
      </w:r>
      <w:bookmarkEnd w:id="96"/>
    </w:p>
    <w:p w:rsidR="00876027" w:rsidRPr="00DA69E7" w:rsidRDefault="00876027" w:rsidP="00876027">
      <w:pPr>
        <w:keepLines/>
        <w:tabs>
          <w:tab w:val="center" w:pos="397"/>
          <w:tab w:val="left" w:pos="794"/>
        </w:tabs>
        <w:autoSpaceDE w:val="0"/>
        <w:autoSpaceDN w:val="0"/>
        <w:adjustRightInd w:val="0"/>
        <w:ind w:left="794" w:hanging="794"/>
        <w:rPr>
          <w:rFonts w:ascii="Arial" w:hAnsi="Arial" w:cs="Arial"/>
          <w:color w:val="808080"/>
          <w:sz w:val="18"/>
          <w:szCs w:val="26"/>
          <w:lang w:val="en-US"/>
        </w:rPr>
      </w:pPr>
      <w:r>
        <w:rPr>
          <w:rFonts w:ascii="Arial" w:hAnsi="Arial" w:cs="Arial"/>
          <w:color w:val="808080"/>
          <w:sz w:val="18"/>
          <w:szCs w:val="26"/>
          <w:lang w:val="en-US"/>
        </w:rPr>
        <w:t>[rule 7A inserted by Land and Valuation Division Supplementary Rules 2014 (Amendment No. 1)]</w:t>
      </w:r>
    </w:p>
    <w:p w:rsidR="0070232C" w:rsidRPr="00F43A74" w:rsidRDefault="0070232C" w:rsidP="0070232C">
      <w:pPr>
        <w:pStyle w:val="Hangindent"/>
        <w:ind w:left="851" w:firstLine="0"/>
        <w:rPr>
          <w:sz w:val="24"/>
          <w:szCs w:val="24"/>
          <w:lang w:val="en-US"/>
        </w:rPr>
      </w:pPr>
      <w:r w:rsidRPr="00C35DA6">
        <w:rPr>
          <w:sz w:val="24"/>
          <w:szCs w:val="24"/>
        </w:rPr>
        <w:t xml:space="preserve">An application for an order of ejectment or payment of rent under section 24(2) of the </w:t>
      </w:r>
      <w:r w:rsidRPr="00C35DA6">
        <w:rPr>
          <w:i/>
          <w:sz w:val="24"/>
          <w:szCs w:val="24"/>
        </w:rPr>
        <w:t>Land Acquisition Act 1969</w:t>
      </w:r>
      <w:r w:rsidRPr="00C35DA6">
        <w:rPr>
          <w:sz w:val="24"/>
          <w:szCs w:val="24"/>
        </w:rPr>
        <w:t xml:space="preserve"> may be supported by an affidavit instead of a </w:t>
      </w:r>
      <w:r>
        <w:rPr>
          <w:sz w:val="24"/>
          <w:szCs w:val="24"/>
        </w:rPr>
        <w:t>statement of claim</w:t>
      </w:r>
      <w:r w:rsidRPr="00C35DA6">
        <w:rPr>
          <w:sz w:val="24"/>
          <w:szCs w:val="24"/>
        </w:rPr>
        <w:t>.</w:t>
      </w:r>
    </w:p>
    <w:p w:rsidR="00F2428C" w:rsidRPr="005A7E80" w:rsidRDefault="00F2428C" w:rsidP="005A7E80">
      <w:pPr>
        <w:pStyle w:val="SubPart"/>
        <w:rPr>
          <w:sz w:val="28"/>
          <w:szCs w:val="28"/>
        </w:rPr>
      </w:pPr>
      <w:bookmarkStart w:id="97" w:name="_Toc390417492"/>
      <w:bookmarkStart w:id="98" w:name="_Toc392832919"/>
      <w:bookmarkStart w:id="99" w:name="_Toc394919027"/>
      <w:bookmarkStart w:id="100" w:name="_Toc394929058"/>
      <w:bookmarkStart w:id="101" w:name="_Toc396129489"/>
      <w:bookmarkStart w:id="102" w:name="_Toc431389471"/>
      <w:r w:rsidRPr="005A7E80">
        <w:rPr>
          <w:sz w:val="28"/>
          <w:szCs w:val="28"/>
        </w:rPr>
        <w:t>Subdivision 2—Lodgment actions</w:t>
      </w:r>
      <w:bookmarkEnd w:id="97"/>
      <w:bookmarkEnd w:id="98"/>
      <w:bookmarkEnd w:id="99"/>
      <w:bookmarkEnd w:id="100"/>
      <w:bookmarkEnd w:id="101"/>
      <w:bookmarkEnd w:id="102"/>
    </w:p>
    <w:p w:rsidR="00F2428C" w:rsidRPr="00F2428C" w:rsidRDefault="00F2428C" w:rsidP="00F2428C">
      <w:pPr>
        <w:pStyle w:val="clausehead"/>
      </w:pPr>
      <w:bookmarkStart w:id="103" w:name="_Toc390417493"/>
      <w:bookmarkStart w:id="104" w:name="_Toc392832920"/>
      <w:bookmarkStart w:id="105" w:name="_Toc394919028"/>
      <w:bookmarkStart w:id="106" w:name="_Toc394929059"/>
      <w:bookmarkStart w:id="107" w:name="_Toc396129490"/>
      <w:bookmarkStart w:id="108" w:name="_Toc396831148"/>
      <w:bookmarkStart w:id="109" w:name="_Toc431389472"/>
      <w:r w:rsidRPr="00F2428C">
        <w:t>8</w:t>
      </w:r>
      <w:r w:rsidR="00334CDE">
        <w:t>—</w:t>
      </w:r>
      <w:r w:rsidRPr="00F2428C">
        <w:t>Form of summons</w:t>
      </w:r>
      <w:bookmarkEnd w:id="103"/>
      <w:bookmarkEnd w:id="104"/>
      <w:bookmarkEnd w:id="105"/>
      <w:bookmarkEnd w:id="106"/>
      <w:bookmarkEnd w:id="107"/>
      <w:bookmarkEnd w:id="108"/>
      <w:bookmarkEnd w:id="109"/>
    </w:p>
    <w:p w:rsidR="00F2428C" w:rsidRPr="00F43A74" w:rsidRDefault="00F2428C" w:rsidP="0070232C">
      <w:pPr>
        <w:pStyle w:val="Hangindent"/>
        <w:rPr>
          <w:sz w:val="24"/>
          <w:szCs w:val="24"/>
        </w:rPr>
      </w:pPr>
      <w:r w:rsidRPr="00F43A74">
        <w:rPr>
          <w:sz w:val="24"/>
          <w:szCs w:val="24"/>
        </w:rPr>
        <w:t>(1)</w:t>
      </w:r>
      <w:r w:rsidRPr="00F43A74">
        <w:rPr>
          <w:sz w:val="24"/>
          <w:szCs w:val="24"/>
        </w:rPr>
        <w:tab/>
      </w:r>
      <w:r w:rsidRPr="00F43A74">
        <w:rPr>
          <w:sz w:val="24"/>
          <w:szCs w:val="24"/>
          <w:lang w:val="en-US"/>
        </w:rPr>
        <w:t xml:space="preserve">A summons in a lodgment action being a payment </w:t>
      </w:r>
      <w:r w:rsidR="007E59CA" w:rsidRPr="00F43A74">
        <w:rPr>
          <w:sz w:val="24"/>
          <w:szCs w:val="24"/>
          <w:lang w:val="en-US"/>
        </w:rPr>
        <w:t>into Court under rule 16</w:t>
      </w:r>
      <w:r w:rsidR="00BC55B5" w:rsidRPr="00F43A74">
        <w:rPr>
          <w:sz w:val="24"/>
          <w:szCs w:val="24"/>
          <w:lang w:val="en-US"/>
        </w:rPr>
        <w:t xml:space="preserve"> of the Rules </w:t>
      </w:r>
      <w:r w:rsidR="000E4DB5" w:rsidRPr="00F43A74">
        <w:rPr>
          <w:sz w:val="24"/>
          <w:szCs w:val="24"/>
          <w:lang w:val="en-US"/>
        </w:rPr>
        <w:t>is to be in form LVD3</w:t>
      </w:r>
      <w:r w:rsidRPr="00F43A74">
        <w:rPr>
          <w:sz w:val="24"/>
          <w:szCs w:val="24"/>
          <w:lang w:val="en-US"/>
        </w:rPr>
        <w:t>.</w:t>
      </w:r>
    </w:p>
    <w:p w:rsidR="00F2428C" w:rsidRPr="00F43A74" w:rsidRDefault="00F2428C" w:rsidP="00F2428C">
      <w:pPr>
        <w:pStyle w:val="Hangindent"/>
        <w:rPr>
          <w:sz w:val="24"/>
          <w:szCs w:val="24"/>
        </w:rPr>
      </w:pPr>
      <w:r w:rsidRPr="00F43A74">
        <w:rPr>
          <w:sz w:val="24"/>
          <w:szCs w:val="24"/>
        </w:rPr>
        <w:t>(2)</w:t>
      </w:r>
      <w:r w:rsidRPr="00F43A74">
        <w:rPr>
          <w:sz w:val="24"/>
          <w:szCs w:val="24"/>
        </w:rPr>
        <w:tab/>
      </w:r>
      <w:r w:rsidRPr="00F43A74">
        <w:rPr>
          <w:sz w:val="24"/>
          <w:szCs w:val="24"/>
          <w:lang w:val="en-US"/>
        </w:rPr>
        <w:t>A summons in a lodgment action being filing of a compensation</w:t>
      </w:r>
      <w:r w:rsidR="007E59CA" w:rsidRPr="00F43A74">
        <w:rPr>
          <w:sz w:val="24"/>
          <w:szCs w:val="24"/>
          <w:lang w:val="en-US"/>
        </w:rPr>
        <w:t xml:space="preserve"> agreement under rule 17</w:t>
      </w:r>
      <w:r w:rsidR="00BC55B5" w:rsidRPr="00F43A74">
        <w:rPr>
          <w:sz w:val="24"/>
          <w:szCs w:val="24"/>
          <w:lang w:val="en-US"/>
        </w:rPr>
        <w:t xml:space="preserve"> of the Rules</w:t>
      </w:r>
      <w:r w:rsidR="000E4DB5" w:rsidRPr="00F43A74">
        <w:rPr>
          <w:sz w:val="24"/>
          <w:szCs w:val="24"/>
          <w:lang w:val="en-US"/>
        </w:rPr>
        <w:t xml:space="preserve"> is to be in form LVD4</w:t>
      </w:r>
      <w:r w:rsidRPr="00F43A74">
        <w:rPr>
          <w:sz w:val="24"/>
          <w:szCs w:val="24"/>
          <w:lang w:val="en-US"/>
        </w:rPr>
        <w:t>.</w:t>
      </w:r>
    </w:p>
    <w:p w:rsidR="00F2428C" w:rsidRPr="00F2428C" w:rsidRDefault="001527C5" w:rsidP="00F2428C">
      <w:pPr>
        <w:pStyle w:val="clausehead"/>
        <w:ind w:left="0" w:firstLine="0"/>
      </w:pPr>
      <w:bookmarkStart w:id="110" w:name="_Toc390417494"/>
      <w:bookmarkStart w:id="111" w:name="_Toc392832921"/>
      <w:bookmarkStart w:id="112" w:name="_Toc394919029"/>
      <w:bookmarkStart w:id="113" w:name="_Toc394929060"/>
      <w:bookmarkStart w:id="114" w:name="_Toc396129491"/>
      <w:bookmarkStart w:id="115" w:name="_Toc396831149"/>
      <w:bookmarkStart w:id="116" w:name="_Toc431389473"/>
      <w:r>
        <w:t>9</w:t>
      </w:r>
      <w:r w:rsidR="00334CDE">
        <w:t>—</w:t>
      </w:r>
      <w:r>
        <w:t xml:space="preserve">Examples of </w:t>
      </w:r>
      <w:r w:rsidR="00F2428C" w:rsidRPr="00F2428C">
        <w:t>orders of payment out</w:t>
      </w:r>
      <w:bookmarkEnd w:id="110"/>
      <w:bookmarkEnd w:id="111"/>
      <w:bookmarkEnd w:id="112"/>
      <w:bookmarkEnd w:id="113"/>
      <w:bookmarkEnd w:id="114"/>
      <w:bookmarkEnd w:id="115"/>
      <w:bookmarkEnd w:id="116"/>
    </w:p>
    <w:p w:rsidR="00F2428C" w:rsidRPr="00F43A74" w:rsidRDefault="00F2428C" w:rsidP="00F2428C">
      <w:pPr>
        <w:pStyle w:val="Hangindent"/>
        <w:rPr>
          <w:sz w:val="24"/>
          <w:szCs w:val="24"/>
        </w:rPr>
      </w:pPr>
      <w:r w:rsidRPr="00F43A74">
        <w:rPr>
          <w:sz w:val="24"/>
          <w:szCs w:val="24"/>
        </w:rPr>
        <w:t>(1)</w:t>
      </w:r>
      <w:r w:rsidRPr="00F43A74">
        <w:rPr>
          <w:sz w:val="24"/>
          <w:szCs w:val="24"/>
        </w:rPr>
        <w:tab/>
        <w:t>An example of payment to claimant—</w:t>
      </w:r>
    </w:p>
    <w:p w:rsidR="00F2428C" w:rsidRPr="00D37CD0" w:rsidRDefault="00F2428C" w:rsidP="008405FF">
      <w:pPr>
        <w:pStyle w:val="Hangindent"/>
        <w:ind w:left="1985"/>
        <w:rPr>
          <w:sz w:val="20"/>
          <w:szCs w:val="20"/>
        </w:rPr>
      </w:pPr>
      <w:r w:rsidRPr="00D37CD0">
        <w:rPr>
          <w:sz w:val="20"/>
          <w:szCs w:val="20"/>
        </w:rPr>
        <w:t>The Court orders that:</w:t>
      </w:r>
    </w:p>
    <w:p w:rsidR="00F2428C" w:rsidRPr="00D37CD0" w:rsidRDefault="00F2428C" w:rsidP="00F2428C">
      <w:pPr>
        <w:pStyle w:val="Hangindent"/>
        <w:rPr>
          <w:sz w:val="20"/>
          <w:szCs w:val="20"/>
        </w:rPr>
      </w:pPr>
      <w:r w:rsidRPr="00D37CD0">
        <w:rPr>
          <w:sz w:val="20"/>
          <w:szCs w:val="20"/>
        </w:rPr>
        <w:tab/>
        <w:t>Out of the moneys standing in Court to the credit of this matter in an account entitled “LVD No [</w:t>
      </w:r>
      <w:r w:rsidRPr="00D37CD0">
        <w:rPr>
          <w:i/>
          <w:sz w:val="20"/>
          <w:szCs w:val="20"/>
        </w:rPr>
        <w:t>no</w:t>
      </w:r>
      <w:r w:rsidRPr="00D37CD0">
        <w:rPr>
          <w:sz w:val="20"/>
          <w:szCs w:val="20"/>
        </w:rPr>
        <w:t>] of [</w:t>
      </w:r>
      <w:r w:rsidRPr="00D37CD0">
        <w:rPr>
          <w:i/>
          <w:sz w:val="20"/>
          <w:szCs w:val="20"/>
        </w:rPr>
        <w:t>year</w:t>
      </w:r>
      <w:r w:rsidRPr="00D37CD0">
        <w:rPr>
          <w:sz w:val="20"/>
          <w:szCs w:val="20"/>
        </w:rPr>
        <w:t>] — Commissioner of Highways v [</w:t>
      </w:r>
      <w:r w:rsidRPr="00D37CD0">
        <w:rPr>
          <w:i/>
          <w:sz w:val="20"/>
          <w:szCs w:val="20"/>
        </w:rPr>
        <w:t>name</w:t>
      </w:r>
      <w:r w:rsidRPr="00D37CD0">
        <w:rPr>
          <w:sz w:val="20"/>
          <w:szCs w:val="20"/>
        </w:rPr>
        <w:t xml:space="preserve">]” Account </w:t>
      </w:r>
      <w:r w:rsidRPr="00D37CD0">
        <w:rPr>
          <w:i/>
          <w:sz w:val="20"/>
          <w:szCs w:val="20"/>
        </w:rPr>
        <w:t>[A/C no</w:t>
      </w:r>
      <w:r w:rsidRPr="00D37CD0">
        <w:rPr>
          <w:sz w:val="20"/>
          <w:szCs w:val="20"/>
        </w:rPr>
        <w:t>], the sum of [</w:t>
      </w:r>
      <w:r w:rsidRPr="00D37CD0">
        <w:rPr>
          <w:i/>
          <w:sz w:val="20"/>
          <w:szCs w:val="20"/>
        </w:rPr>
        <w:t>sum</w:t>
      </w:r>
      <w:r w:rsidRPr="00D37CD0">
        <w:rPr>
          <w:sz w:val="20"/>
          <w:szCs w:val="20"/>
        </w:rPr>
        <w:t>] together with all interest accrued thereon to the date of payment out be paid out of Court to the claimant, [</w:t>
      </w:r>
      <w:r w:rsidRPr="00D37CD0">
        <w:rPr>
          <w:i/>
          <w:sz w:val="20"/>
          <w:szCs w:val="20"/>
        </w:rPr>
        <w:t>name</w:t>
      </w:r>
      <w:r w:rsidRPr="00D37CD0">
        <w:rPr>
          <w:sz w:val="20"/>
          <w:szCs w:val="20"/>
        </w:rPr>
        <w:t>] without</w:t>
      </w:r>
      <w:r w:rsidR="004000A9" w:rsidRPr="00D37CD0">
        <w:rPr>
          <w:sz w:val="20"/>
          <w:szCs w:val="20"/>
        </w:rPr>
        <w:t xml:space="preserve"> prejudice to the right of the </w:t>
      </w:r>
      <w:r w:rsidR="00F326FB" w:rsidRPr="00D37CD0">
        <w:rPr>
          <w:sz w:val="20"/>
          <w:szCs w:val="20"/>
        </w:rPr>
        <w:t>claimant to</w:t>
      </w:r>
      <w:r w:rsidRPr="00D37CD0">
        <w:rPr>
          <w:sz w:val="20"/>
          <w:szCs w:val="20"/>
        </w:rPr>
        <w:t xml:space="preserve"> claim such further compensation to which the claimant may be entitled to under the </w:t>
      </w:r>
      <w:r w:rsidRPr="00B71F00">
        <w:rPr>
          <w:i/>
          <w:sz w:val="20"/>
          <w:szCs w:val="20"/>
        </w:rPr>
        <w:t>Land Acquisition Act 1969</w:t>
      </w:r>
      <w:r w:rsidRPr="00D37CD0">
        <w:rPr>
          <w:sz w:val="20"/>
          <w:szCs w:val="20"/>
        </w:rPr>
        <w:t xml:space="preserve">. </w:t>
      </w:r>
    </w:p>
    <w:p w:rsidR="00F2428C" w:rsidRPr="00F43A74" w:rsidRDefault="00F2428C" w:rsidP="00F2428C">
      <w:pPr>
        <w:pStyle w:val="Hangindent"/>
        <w:rPr>
          <w:sz w:val="24"/>
          <w:szCs w:val="24"/>
        </w:rPr>
      </w:pPr>
      <w:r w:rsidRPr="00F43A74">
        <w:rPr>
          <w:sz w:val="24"/>
          <w:szCs w:val="24"/>
        </w:rPr>
        <w:t>(2)</w:t>
      </w:r>
      <w:r w:rsidRPr="00F43A74">
        <w:rPr>
          <w:sz w:val="24"/>
          <w:szCs w:val="24"/>
        </w:rPr>
        <w:tab/>
        <w:t>An example of payment to the Authority—</w:t>
      </w:r>
    </w:p>
    <w:p w:rsidR="00F2428C" w:rsidRPr="00D37CD0" w:rsidRDefault="00F2428C" w:rsidP="00471502">
      <w:pPr>
        <w:pStyle w:val="Doublehangingindent"/>
        <w:rPr>
          <w:sz w:val="20"/>
          <w:szCs w:val="20"/>
        </w:rPr>
      </w:pPr>
      <w:r w:rsidRPr="00D37CD0">
        <w:rPr>
          <w:sz w:val="20"/>
          <w:szCs w:val="20"/>
        </w:rPr>
        <w:t>The Court orders that</w:t>
      </w:r>
      <w:r w:rsidR="004000A9" w:rsidRPr="00D37CD0">
        <w:rPr>
          <w:sz w:val="20"/>
          <w:szCs w:val="20"/>
        </w:rPr>
        <w:t>—</w:t>
      </w:r>
    </w:p>
    <w:p w:rsidR="00F2428C" w:rsidRPr="00D37CD0" w:rsidRDefault="00F2428C" w:rsidP="00471502">
      <w:pPr>
        <w:pStyle w:val="Doublehangingindent"/>
        <w:ind w:left="1440" w:hanging="22"/>
        <w:rPr>
          <w:sz w:val="20"/>
          <w:szCs w:val="20"/>
        </w:rPr>
      </w:pPr>
      <w:r w:rsidRPr="00D37CD0">
        <w:rPr>
          <w:sz w:val="20"/>
          <w:szCs w:val="20"/>
        </w:rPr>
        <w:t>Out of the moneys standing in Court to the credit of this matter in an account entitled “LVD No [</w:t>
      </w:r>
      <w:r w:rsidRPr="00D37CD0">
        <w:rPr>
          <w:i/>
          <w:sz w:val="20"/>
          <w:szCs w:val="20"/>
        </w:rPr>
        <w:t>no</w:t>
      </w:r>
      <w:r w:rsidRPr="00D37CD0">
        <w:rPr>
          <w:sz w:val="20"/>
          <w:szCs w:val="20"/>
        </w:rPr>
        <w:t>] of [</w:t>
      </w:r>
      <w:r w:rsidRPr="00D37CD0">
        <w:rPr>
          <w:i/>
          <w:sz w:val="20"/>
          <w:szCs w:val="20"/>
        </w:rPr>
        <w:t>year</w:t>
      </w:r>
      <w:r w:rsidRPr="00D37CD0">
        <w:rPr>
          <w:sz w:val="20"/>
          <w:szCs w:val="20"/>
        </w:rPr>
        <w:t>] —Commissioner of Highways v [</w:t>
      </w:r>
      <w:r w:rsidRPr="00D37CD0">
        <w:rPr>
          <w:i/>
          <w:sz w:val="20"/>
          <w:szCs w:val="20"/>
        </w:rPr>
        <w:t>name</w:t>
      </w:r>
      <w:r w:rsidRPr="00D37CD0">
        <w:rPr>
          <w:sz w:val="20"/>
          <w:szCs w:val="20"/>
        </w:rPr>
        <w:t>]” Account [</w:t>
      </w:r>
      <w:r w:rsidRPr="00D37CD0">
        <w:rPr>
          <w:i/>
          <w:sz w:val="20"/>
          <w:szCs w:val="20"/>
        </w:rPr>
        <w:t>A/C no</w:t>
      </w:r>
      <w:r w:rsidRPr="00D37CD0">
        <w:rPr>
          <w:sz w:val="20"/>
          <w:szCs w:val="20"/>
        </w:rPr>
        <w:t>], the sum of [</w:t>
      </w:r>
      <w:r w:rsidRPr="00D37CD0">
        <w:rPr>
          <w:i/>
          <w:sz w:val="20"/>
          <w:szCs w:val="20"/>
        </w:rPr>
        <w:t>sum</w:t>
      </w:r>
      <w:r w:rsidRPr="00D37CD0">
        <w:rPr>
          <w:sz w:val="20"/>
          <w:szCs w:val="20"/>
        </w:rPr>
        <w:t>] together with all interest accrued ther</w:t>
      </w:r>
      <w:r w:rsidR="00BC55B5" w:rsidRPr="00D37CD0">
        <w:rPr>
          <w:sz w:val="20"/>
          <w:szCs w:val="20"/>
        </w:rPr>
        <w:t>e</w:t>
      </w:r>
      <w:r w:rsidRPr="00D37CD0">
        <w:rPr>
          <w:sz w:val="20"/>
          <w:szCs w:val="20"/>
        </w:rPr>
        <w:t xml:space="preserve">on to the date of payment out, be paid out of Court to the Authority c/- the Crown Solicitor. </w:t>
      </w:r>
    </w:p>
    <w:p w:rsidR="000E4DB5" w:rsidRPr="005A7E80" w:rsidRDefault="000E4DB5" w:rsidP="005A7E80">
      <w:pPr>
        <w:pStyle w:val="SubPart"/>
        <w:rPr>
          <w:sz w:val="28"/>
          <w:szCs w:val="28"/>
        </w:rPr>
      </w:pPr>
      <w:bookmarkStart w:id="117" w:name="_Toc394919030"/>
      <w:bookmarkStart w:id="118" w:name="_Toc394929061"/>
      <w:bookmarkStart w:id="119" w:name="_Toc396129492"/>
      <w:bookmarkStart w:id="120" w:name="_Toc431389474"/>
      <w:r w:rsidRPr="005A7E80">
        <w:rPr>
          <w:sz w:val="28"/>
          <w:szCs w:val="28"/>
        </w:rPr>
        <w:t>Subdivision 3—Valuation appeals</w:t>
      </w:r>
      <w:bookmarkEnd w:id="117"/>
      <w:bookmarkEnd w:id="118"/>
      <w:bookmarkEnd w:id="119"/>
      <w:bookmarkEnd w:id="120"/>
    </w:p>
    <w:p w:rsidR="00EB1366" w:rsidRPr="00F2428C" w:rsidRDefault="00EB1366" w:rsidP="00EB1366">
      <w:pPr>
        <w:pStyle w:val="clausehead"/>
      </w:pPr>
      <w:bookmarkStart w:id="121" w:name="_Toc394919031"/>
      <w:bookmarkStart w:id="122" w:name="_Toc394929062"/>
      <w:bookmarkStart w:id="123" w:name="_Toc396129493"/>
      <w:bookmarkStart w:id="124" w:name="_Toc396831150"/>
      <w:bookmarkStart w:id="125" w:name="_Toc431389475"/>
      <w:r>
        <w:t>10—Notice of appeal</w:t>
      </w:r>
      <w:bookmarkEnd w:id="121"/>
      <w:bookmarkEnd w:id="122"/>
      <w:bookmarkEnd w:id="123"/>
      <w:bookmarkEnd w:id="124"/>
      <w:bookmarkEnd w:id="125"/>
      <w:r w:rsidRPr="00F2428C">
        <w:t xml:space="preserve"> </w:t>
      </w:r>
    </w:p>
    <w:p w:rsidR="00127B30" w:rsidRDefault="00127B30" w:rsidP="00127B30">
      <w:pPr>
        <w:pStyle w:val="IndentedPara"/>
        <w:rPr>
          <w:sz w:val="24"/>
          <w:szCs w:val="24"/>
        </w:rPr>
      </w:pPr>
      <w:r w:rsidRPr="00F43A74">
        <w:rPr>
          <w:sz w:val="24"/>
          <w:szCs w:val="24"/>
        </w:rPr>
        <w:t>A notice of appeal in a valuation appeal under rule 1</w:t>
      </w:r>
      <w:r w:rsidR="007E59CA" w:rsidRPr="00F43A74">
        <w:rPr>
          <w:sz w:val="24"/>
          <w:szCs w:val="24"/>
        </w:rPr>
        <w:t>8</w:t>
      </w:r>
      <w:r w:rsidRPr="00F43A74">
        <w:rPr>
          <w:sz w:val="24"/>
          <w:szCs w:val="24"/>
        </w:rPr>
        <w:t xml:space="preserve"> of the Rules is to be in form LVD5.</w:t>
      </w:r>
    </w:p>
    <w:p w:rsidR="006D7F25" w:rsidRDefault="00286083" w:rsidP="00286083">
      <w:pPr>
        <w:pStyle w:val="Chapter"/>
      </w:pPr>
      <w:r>
        <w:br w:type="page"/>
      </w:r>
      <w:bookmarkStart w:id="126" w:name="_Toc431389476"/>
      <w:bookmarkEnd w:id="79"/>
      <w:bookmarkEnd w:id="80"/>
      <w:bookmarkEnd w:id="81"/>
      <w:r w:rsidR="009A6A0B">
        <w:t>Chapter 4—</w:t>
      </w:r>
      <w:r w:rsidR="006D7F25">
        <w:t>Documents and service</w:t>
      </w:r>
      <w:bookmarkEnd w:id="126"/>
    </w:p>
    <w:p w:rsidR="006D7F25" w:rsidRDefault="009A6A0B" w:rsidP="00E302D5">
      <w:pPr>
        <w:pStyle w:val="Part"/>
      </w:pPr>
      <w:bookmarkStart w:id="127" w:name="_Toc431389477"/>
      <w:r>
        <w:t>Part 1—</w:t>
      </w:r>
      <w:r w:rsidR="006D7F25">
        <w:t>Documents</w:t>
      </w:r>
      <w:bookmarkEnd w:id="127"/>
    </w:p>
    <w:p w:rsidR="006D7F25" w:rsidRPr="008A7AD6" w:rsidRDefault="009A6A0B" w:rsidP="004A6CD8">
      <w:pPr>
        <w:pStyle w:val="Division"/>
      </w:pPr>
      <w:bookmarkStart w:id="128" w:name="_Toc431389478"/>
      <w:r>
        <w:t>Division 1—</w:t>
      </w:r>
      <w:r w:rsidR="003A2B23" w:rsidRPr="008A7AD6">
        <w:t>Approved forms</w:t>
      </w:r>
      <w:bookmarkEnd w:id="128"/>
    </w:p>
    <w:p w:rsidR="006D7F25" w:rsidRDefault="00082E97" w:rsidP="003A2B23">
      <w:pPr>
        <w:pStyle w:val="clausehead"/>
      </w:pPr>
      <w:bookmarkStart w:id="129" w:name="_Toc387746012"/>
      <w:bookmarkStart w:id="130" w:name="_Toc387757800"/>
      <w:bookmarkStart w:id="131" w:name="_Toc387833067"/>
      <w:bookmarkStart w:id="132" w:name="_Toc390417495"/>
      <w:bookmarkStart w:id="133" w:name="_Toc392832922"/>
      <w:bookmarkStart w:id="134" w:name="_Toc394919032"/>
      <w:bookmarkStart w:id="135" w:name="_Toc394929063"/>
      <w:bookmarkStart w:id="136" w:name="_Toc396129494"/>
      <w:bookmarkStart w:id="137" w:name="_Toc396831151"/>
      <w:bookmarkStart w:id="138" w:name="_Toc431389479"/>
      <w:r>
        <w:t>11</w:t>
      </w:r>
      <w:r w:rsidR="006165F9">
        <w:t>—</w:t>
      </w:r>
      <w:r w:rsidR="003A2B23">
        <w:t>Approved forms</w:t>
      </w:r>
      <w:bookmarkEnd w:id="129"/>
      <w:bookmarkEnd w:id="130"/>
      <w:bookmarkEnd w:id="131"/>
      <w:bookmarkEnd w:id="132"/>
      <w:bookmarkEnd w:id="133"/>
      <w:bookmarkEnd w:id="134"/>
      <w:bookmarkEnd w:id="135"/>
      <w:bookmarkEnd w:id="136"/>
      <w:bookmarkEnd w:id="137"/>
      <w:bookmarkEnd w:id="138"/>
    </w:p>
    <w:p w:rsidR="003A2B23" w:rsidRPr="00F43A74" w:rsidRDefault="005F7DF0" w:rsidP="00E567D3">
      <w:pPr>
        <w:pStyle w:val="IndentedPara"/>
        <w:rPr>
          <w:sz w:val="24"/>
          <w:szCs w:val="24"/>
        </w:rPr>
      </w:pPr>
      <w:r w:rsidRPr="00F43A74">
        <w:rPr>
          <w:sz w:val="24"/>
          <w:szCs w:val="24"/>
        </w:rPr>
        <w:t xml:space="preserve">The forms contained in </w:t>
      </w:r>
      <w:r w:rsidR="00BC55B5" w:rsidRPr="00F43A74">
        <w:rPr>
          <w:sz w:val="24"/>
          <w:szCs w:val="24"/>
        </w:rPr>
        <w:t>the Schedule</w:t>
      </w:r>
      <w:r w:rsidR="00FD7119" w:rsidRPr="00F43A74">
        <w:rPr>
          <w:sz w:val="24"/>
          <w:szCs w:val="24"/>
        </w:rPr>
        <w:t xml:space="preserve"> to</w:t>
      </w:r>
      <w:r w:rsidR="00553F6D" w:rsidRPr="00F43A74">
        <w:rPr>
          <w:sz w:val="24"/>
          <w:szCs w:val="24"/>
        </w:rPr>
        <w:t xml:space="preserve"> these </w:t>
      </w:r>
      <w:r w:rsidR="009F262D" w:rsidRPr="00F43A74">
        <w:rPr>
          <w:sz w:val="24"/>
          <w:szCs w:val="24"/>
        </w:rPr>
        <w:t>Supplementary Rules</w:t>
      </w:r>
      <w:r w:rsidRPr="00F43A74">
        <w:rPr>
          <w:sz w:val="24"/>
          <w:szCs w:val="24"/>
        </w:rPr>
        <w:t xml:space="preserve"> </w:t>
      </w:r>
      <w:r w:rsidR="004A6CD8" w:rsidRPr="00F43A74">
        <w:rPr>
          <w:sz w:val="24"/>
          <w:szCs w:val="24"/>
        </w:rPr>
        <w:t>are</w:t>
      </w:r>
      <w:r w:rsidRPr="00F43A74">
        <w:rPr>
          <w:sz w:val="24"/>
          <w:szCs w:val="24"/>
        </w:rPr>
        <w:t xml:space="preserve"> to be used for the relevant purpose and, </w:t>
      </w:r>
      <w:r w:rsidR="001B1450" w:rsidRPr="00F43A74">
        <w:rPr>
          <w:sz w:val="24"/>
          <w:szCs w:val="24"/>
        </w:rPr>
        <w:t>when</w:t>
      </w:r>
      <w:r w:rsidRPr="00F43A74">
        <w:rPr>
          <w:sz w:val="24"/>
          <w:szCs w:val="24"/>
        </w:rPr>
        <w:t xml:space="preserve"> applicable, under the state</w:t>
      </w:r>
      <w:r w:rsidR="008A7AD6" w:rsidRPr="00F43A74">
        <w:rPr>
          <w:sz w:val="24"/>
          <w:szCs w:val="24"/>
        </w:rPr>
        <w:t>d</w:t>
      </w:r>
      <w:r w:rsidRPr="00F43A74">
        <w:rPr>
          <w:sz w:val="24"/>
          <w:szCs w:val="24"/>
        </w:rPr>
        <w:t xml:space="preserve"> rule or </w:t>
      </w:r>
      <w:r w:rsidR="00FD7119" w:rsidRPr="00F43A74">
        <w:rPr>
          <w:sz w:val="24"/>
          <w:szCs w:val="24"/>
        </w:rPr>
        <w:t>supplementary rule</w:t>
      </w:r>
      <w:r w:rsidRPr="00F43A74">
        <w:rPr>
          <w:sz w:val="24"/>
          <w:szCs w:val="24"/>
        </w:rPr>
        <w:t>.</w:t>
      </w:r>
    </w:p>
    <w:p w:rsidR="006D7F25" w:rsidRPr="008A7AD6" w:rsidRDefault="009A6A0B" w:rsidP="004A6CD8">
      <w:pPr>
        <w:pStyle w:val="Division"/>
      </w:pPr>
      <w:bookmarkStart w:id="139" w:name="_Toc431389480"/>
      <w:r>
        <w:t>Division 2—</w:t>
      </w:r>
      <w:r w:rsidR="006D7F25" w:rsidRPr="008A7AD6">
        <w:t xml:space="preserve">Filing of documents in </w:t>
      </w:r>
      <w:r w:rsidR="004A6CD8">
        <w:t>C</w:t>
      </w:r>
      <w:r w:rsidR="006D7F25" w:rsidRPr="008A7AD6">
        <w:t>ourt</w:t>
      </w:r>
      <w:bookmarkEnd w:id="139"/>
    </w:p>
    <w:p w:rsidR="006D7F25" w:rsidRDefault="00082E97" w:rsidP="006D7F25">
      <w:pPr>
        <w:pStyle w:val="clausehead"/>
      </w:pPr>
      <w:bookmarkStart w:id="140" w:name="_Toc387746013"/>
      <w:bookmarkStart w:id="141" w:name="_Toc387757801"/>
      <w:bookmarkStart w:id="142" w:name="_Toc387833068"/>
      <w:bookmarkStart w:id="143" w:name="_Toc390417496"/>
      <w:bookmarkStart w:id="144" w:name="_Toc392832923"/>
      <w:bookmarkStart w:id="145" w:name="_Toc394919033"/>
      <w:bookmarkStart w:id="146" w:name="_Toc394929064"/>
      <w:bookmarkStart w:id="147" w:name="_Toc396129495"/>
      <w:bookmarkStart w:id="148" w:name="_Toc396831152"/>
      <w:bookmarkStart w:id="149" w:name="_Toc431389481"/>
      <w:r>
        <w:t>12</w:t>
      </w:r>
      <w:r w:rsidR="006165F9">
        <w:t>—</w:t>
      </w:r>
      <w:r w:rsidR="006D7F25">
        <w:t>F</w:t>
      </w:r>
      <w:r w:rsidR="004A6CD8">
        <w:t>orm of documents for filing in C</w:t>
      </w:r>
      <w:r w:rsidR="006D7F25">
        <w:t>ourt</w:t>
      </w:r>
      <w:bookmarkEnd w:id="140"/>
      <w:bookmarkEnd w:id="141"/>
      <w:bookmarkEnd w:id="142"/>
      <w:bookmarkEnd w:id="143"/>
      <w:bookmarkEnd w:id="144"/>
      <w:bookmarkEnd w:id="145"/>
      <w:bookmarkEnd w:id="146"/>
      <w:bookmarkEnd w:id="147"/>
      <w:bookmarkEnd w:id="148"/>
      <w:bookmarkEnd w:id="149"/>
    </w:p>
    <w:p w:rsidR="008405FF" w:rsidRPr="00D37CD0" w:rsidRDefault="008405FF" w:rsidP="008405FF">
      <w:pPr>
        <w:pStyle w:val="Hangindent"/>
        <w:rPr>
          <w:sz w:val="24"/>
          <w:szCs w:val="24"/>
        </w:rPr>
      </w:pPr>
      <w:r w:rsidRPr="00D37CD0">
        <w:rPr>
          <w:sz w:val="24"/>
          <w:szCs w:val="24"/>
        </w:rPr>
        <w:t>(1)</w:t>
      </w:r>
      <w:r w:rsidRPr="00D37CD0">
        <w:rPr>
          <w:sz w:val="24"/>
          <w:szCs w:val="24"/>
        </w:rPr>
        <w:tab/>
      </w:r>
      <w:r w:rsidR="008A7AD6" w:rsidRPr="00D37CD0">
        <w:rPr>
          <w:sz w:val="24"/>
          <w:szCs w:val="24"/>
        </w:rPr>
        <w:t>A</w:t>
      </w:r>
      <w:r w:rsidR="00822BE3" w:rsidRPr="00D37CD0">
        <w:rPr>
          <w:sz w:val="24"/>
          <w:szCs w:val="24"/>
        </w:rPr>
        <w:t>ll documents filed in the Court are to contain</w:t>
      </w:r>
      <w:r w:rsidRPr="00D37CD0">
        <w:rPr>
          <w:sz w:val="24"/>
          <w:szCs w:val="24"/>
        </w:rPr>
        <w:t>—</w:t>
      </w:r>
    </w:p>
    <w:p w:rsidR="008405FF" w:rsidRPr="00D37CD0" w:rsidRDefault="008405FF" w:rsidP="008405FF">
      <w:pPr>
        <w:pStyle w:val="Doublehangingindent"/>
        <w:rPr>
          <w:sz w:val="24"/>
          <w:szCs w:val="24"/>
        </w:rPr>
      </w:pPr>
      <w:r w:rsidRPr="00D37CD0">
        <w:rPr>
          <w:sz w:val="24"/>
          <w:szCs w:val="24"/>
        </w:rPr>
        <w:t>(a)</w:t>
      </w:r>
      <w:r w:rsidRPr="00D37CD0">
        <w:rPr>
          <w:sz w:val="24"/>
          <w:szCs w:val="24"/>
        </w:rPr>
        <w:tab/>
      </w:r>
      <w:r w:rsidR="00822BE3" w:rsidRPr="00D37CD0">
        <w:rPr>
          <w:sz w:val="24"/>
          <w:szCs w:val="24"/>
        </w:rPr>
        <w:t>as part of the action heading immediately above the action number the words “Land and Valuation Division”</w:t>
      </w:r>
      <w:r w:rsidRPr="00D37CD0">
        <w:rPr>
          <w:sz w:val="24"/>
          <w:szCs w:val="24"/>
        </w:rPr>
        <w:t>;</w:t>
      </w:r>
      <w:r w:rsidR="00822BE3" w:rsidRPr="00D37CD0">
        <w:rPr>
          <w:sz w:val="24"/>
          <w:szCs w:val="24"/>
        </w:rPr>
        <w:t xml:space="preserve"> and</w:t>
      </w:r>
    </w:p>
    <w:p w:rsidR="006D7F25" w:rsidRPr="00D37CD0" w:rsidRDefault="008405FF" w:rsidP="008405FF">
      <w:pPr>
        <w:pStyle w:val="Doublehangingindent"/>
        <w:rPr>
          <w:sz w:val="24"/>
          <w:szCs w:val="24"/>
        </w:rPr>
      </w:pPr>
      <w:r w:rsidRPr="00D37CD0">
        <w:rPr>
          <w:sz w:val="24"/>
          <w:szCs w:val="24"/>
        </w:rPr>
        <w:t>(b)</w:t>
      </w:r>
      <w:r w:rsidRPr="00D37CD0">
        <w:rPr>
          <w:sz w:val="24"/>
          <w:szCs w:val="24"/>
        </w:rPr>
        <w:tab/>
      </w:r>
      <w:r w:rsidR="00822BE3" w:rsidRPr="00D37CD0">
        <w:rPr>
          <w:sz w:val="24"/>
          <w:szCs w:val="24"/>
        </w:rPr>
        <w:t>an action number in the form “LVD No of 20  .”</w:t>
      </w:r>
    </w:p>
    <w:p w:rsidR="008B305A" w:rsidRDefault="009A6A0B" w:rsidP="00E302D5">
      <w:pPr>
        <w:pStyle w:val="Part"/>
      </w:pPr>
      <w:bookmarkStart w:id="150" w:name="_Toc431389482"/>
      <w:r>
        <w:t>Part 2—</w:t>
      </w:r>
      <w:r w:rsidR="008B305A">
        <w:t>Service</w:t>
      </w:r>
      <w:bookmarkEnd w:id="150"/>
    </w:p>
    <w:p w:rsidR="008B305A" w:rsidRDefault="00082E97" w:rsidP="008B305A">
      <w:pPr>
        <w:pStyle w:val="clausehead"/>
      </w:pPr>
      <w:bookmarkStart w:id="151" w:name="_Toc387746014"/>
      <w:bookmarkStart w:id="152" w:name="_Toc387757802"/>
      <w:bookmarkStart w:id="153" w:name="_Toc387833069"/>
      <w:bookmarkStart w:id="154" w:name="_Toc390417497"/>
      <w:bookmarkStart w:id="155" w:name="_Toc392832924"/>
      <w:bookmarkStart w:id="156" w:name="_Toc394919034"/>
      <w:bookmarkStart w:id="157" w:name="_Toc394929065"/>
      <w:bookmarkStart w:id="158" w:name="_Toc396129496"/>
      <w:bookmarkStart w:id="159" w:name="_Toc396831153"/>
      <w:bookmarkStart w:id="160" w:name="_Toc431389483"/>
      <w:r>
        <w:t>13</w:t>
      </w:r>
      <w:r w:rsidR="006165F9">
        <w:t>—</w:t>
      </w:r>
      <w:r w:rsidR="008B305A">
        <w:t>Obligation to give address for service</w:t>
      </w:r>
      <w:bookmarkEnd w:id="151"/>
      <w:bookmarkEnd w:id="152"/>
      <w:bookmarkEnd w:id="153"/>
      <w:bookmarkEnd w:id="154"/>
      <w:bookmarkEnd w:id="155"/>
      <w:bookmarkEnd w:id="156"/>
      <w:bookmarkEnd w:id="157"/>
      <w:bookmarkEnd w:id="158"/>
      <w:bookmarkEnd w:id="159"/>
      <w:bookmarkEnd w:id="160"/>
    </w:p>
    <w:p w:rsidR="008B305A" w:rsidRDefault="008B305A" w:rsidP="00E567D3">
      <w:pPr>
        <w:pStyle w:val="IndentedPara"/>
        <w:rPr>
          <w:sz w:val="24"/>
          <w:szCs w:val="24"/>
        </w:rPr>
      </w:pPr>
      <w:r w:rsidRPr="00F43A74">
        <w:rPr>
          <w:sz w:val="24"/>
          <w:szCs w:val="24"/>
        </w:rPr>
        <w:t xml:space="preserve">A defendant or person served with a summons in a lodgment action is not required to file an address for service or defence under </w:t>
      </w:r>
      <w:r w:rsidR="008A7AD6" w:rsidRPr="00F43A74">
        <w:rPr>
          <w:sz w:val="24"/>
          <w:szCs w:val="24"/>
        </w:rPr>
        <w:t>rule</w:t>
      </w:r>
      <w:r w:rsidRPr="00F43A74">
        <w:rPr>
          <w:sz w:val="24"/>
          <w:szCs w:val="24"/>
        </w:rPr>
        <w:t xml:space="preserve"> 59(3) of the General Civil Rules unless and until that defendant or person applies for an order in the action.</w:t>
      </w:r>
    </w:p>
    <w:p w:rsidR="009F262D" w:rsidRDefault="00286083" w:rsidP="00286083">
      <w:pPr>
        <w:pStyle w:val="Chapter"/>
      </w:pPr>
      <w:r>
        <w:br w:type="page"/>
      </w:r>
      <w:bookmarkStart w:id="161" w:name="_Toc383702480"/>
      <w:bookmarkStart w:id="162" w:name="_Toc383703017"/>
      <w:bookmarkStart w:id="163" w:name="_Toc385334753"/>
      <w:bookmarkStart w:id="164" w:name="_Toc388265140"/>
      <w:bookmarkStart w:id="165" w:name="_Toc431389484"/>
      <w:bookmarkStart w:id="166" w:name="_Toc383702525"/>
      <w:bookmarkStart w:id="167" w:name="_Toc383703062"/>
      <w:bookmarkStart w:id="168" w:name="_Toc385334766"/>
      <w:bookmarkStart w:id="169" w:name="_Toc388265154"/>
      <w:bookmarkStart w:id="170" w:name="_Toc383702531"/>
      <w:bookmarkStart w:id="171" w:name="_Toc383703068"/>
      <w:bookmarkStart w:id="172" w:name="_Toc385334774"/>
      <w:bookmarkStart w:id="173" w:name="_Toc388265162"/>
      <w:r w:rsidR="009F262D" w:rsidRPr="00F57757">
        <w:t>Chapter 5—Parties and pleadings</w:t>
      </w:r>
      <w:bookmarkEnd w:id="161"/>
      <w:bookmarkEnd w:id="162"/>
      <w:bookmarkEnd w:id="163"/>
      <w:bookmarkEnd w:id="164"/>
      <w:bookmarkEnd w:id="165"/>
    </w:p>
    <w:p w:rsidR="00082E97" w:rsidRPr="00F2428C" w:rsidRDefault="00082E97" w:rsidP="00082E97">
      <w:pPr>
        <w:pStyle w:val="clausehead"/>
      </w:pPr>
      <w:bookmarkStart w:id="174" w:name="_Toc394919035"/>
      <w:bookmarkStart w:id="175" w:name="_Toc394929066"/>
      <w:bookmarkStart w:id="176" w:name="_Toc396129497"/>
      <w:bookmarkStart w:id="177" w:name="_Toc396831154"/>
      <w:bookmarkStart w:id="178" w:name="_Toc431389485"/>
      <w:r>
        <w:t>14—Statement of facts, issues and contentions</w:t>
      </w:r>
      <w:bookmarkEnd w:id="174"/>
      <w:bookmarkEnd w:id="175"/>
      <w:bookmarkEnd w:id="176"/>
      <w:bookmarkEnd w:id="177"/>
      <w:bookmarkEnd w:id="178"/>
      <w:r w:rsidRPr="00F2428C">
        <w:t xml:space="preserve"> </w:t>
      </w:r>
    </w:p>
    <w:p w:rsidR="00082E97" w:rsidRPr="00F43A74" w:rsidRDefault="00082E97" w:rsidP="00082E97">
      <w:pPr>
        <w:pStyle w:val="IndentedPara"/>
        <w:rPr>
          <w:sz w:val="24"/>
          <w:szCs w:val="24"/>
        </w:rPr>
      </w:pPr>
      <w:r w:rsidRPr="00F43A74">
        <w:rPr>
          <w:sz w:val="24"/>
          <w:szCs w:val="24"/>
        </w:rPr>
        <w:t>A Statement of facts, issues and contentions in a valuation appeal under rule 2</w:t>
      </w:r>
      <w:r w:rsidR="007E59CA" w:rsidRPr="00F43A74">
        <w:rPr>
          <w:sz w:val="24"/>
          <w:szCs w:val="24"/>
        </w:rPr>
        <w:t>8</w:t>
      </w:r>
      <w:r w:rsidRPr="00F43A74">
        <w:rPr>
          <w:sz w:val="24"/>
          <w:szCs w:val="24"/>
        </w:rPr>
        <w:t xml:space="preserve"> of the Rules is to be in form LVD6.</w:t>
      </w:r>
    </w:p>
    <w:p w:rsidR="00082E97" w:rsidRPr="00F2428C" w:rsidRDefault="00082E97" w:rsidP="00082E97">
      <w:pPr>
        <w:pStyle w:val="clausehead"/>
      </w:pPr>
      <w:bookmarkStart w:id="179" w:name="_Toc394919036"/>
      <w:bookmarkStart w:id="180" w:name="_Toc394929067"/>
      <w:bookmarkStart w:id="181" w:name="_Toc396129498"/>
      <w:bookmarkStart w:id="182" w:name="_Toc396831155"/>
      <w:bookmarkStart w:id="183" w:name="_Toc431389486"/>
      <w:r>
        <w:t>15—Response to statement of facts, issues and contentions</w:t>
      </w:r>
      <w:bookmarkEnd w:id="179"/>
      <w:bookmarkEnd w:id="180"/>
      <w:bookmarkEnd w:id="181"/>
      <w:bookmarkEnd w:id="182"/>
      <w:bookmarkEnd w:id="183"/>
      <w:r w:rsidRPr="00F2428C">
        <w:t xml:space="preserve"> </w:t>
      </w:r>
    </w:p>
    <w:p w:rsidR="00082E97" w:rsidRDefault="00082E97" w:rsidP="00082E97">
      <w:pPr>
        <w:pStyle w:val="IndentedPara"/>
        <w:rPr>
          <w:sz w:val="24"/>
          <w:szCs w:val="24"/>
        </w:rPr>
      </w:pPr>
      <w:r w:rsidRPr="00F43A74">
        <w:rPr>
          <w:sz w:val="24"/>
          <w:szCs w:val="24"/>
        </w:rPr>
        <w:t xml:space="preserve">A Response to statement of facts, issues and contentions in a </w:t>
      </w:r>
      <w:r w:rsidR="007E59CA" w:rsidRPr="00F43A74">
        <w:rPr>
          <w:sz w:val="24"/>
          <w:szCs w:val="24"/>
        </w:rPr>
        <w:t>valuation appeal under rule 29</w:t>
      </w:r>
      <w:r w:rsidRPr="00F43A74">
        <w:rPr>
          <w:sz w:val="24"/>
          <w:szCs w:val="24"/>
        </w:rPr>
        <w:t xml:space="preserve"> of the Rules is to be in form LVD7.</w:t>
      </w:r>
    </w:p>
    <w:p w:rsidR="009F262D" w:rsidRPr="00301AA7" w:rsidRDefault="00286083" w:rsidP="00286083">
      <w:pPr>
        <w:pStyle w:val="Chapter"/>
      </w:pPr>
      <w:r>
        <w:br w:type="page"/>
      </w:r>
      <w:bookmarkStart w:id="184" w:name="_Toc431389487"/>
      <w:r w:rsidR="009F262D" w:rsidRPr="00301AA7">
        <w:t>Chapter 6—Case management</w:t>
      </w:r>
      <w:bookmarkEnd w:id="166"/>
      <w:bookmarkEnd w:id="167"/>
      <w:bookmarkEnd w:id="168"/>
      <w:bookmarkEnd w:id="169"/>
      <w:bookmarkEnd w:id="184"/>
    </w:p>
    <w:p w:rsidR="009F262D" w:rsidRDefault="009F262D" w:rsidP="00D37CD0">
      <w:pPr>
        <w:pStyle w:val="IndentedPara"/>
        <w:rPr>
          <w:sz w:val="24"/>
          <w:szCs w:val="24"/>
        </w:rPr>
      </w:pPr>
      <w:bookmarkStart w:id="185" w:name="_Toc383702529"/>
      <w:bookmarkStart w:id="186" w:name="_Toc383703066"/>
      <w:r w:rsidRPr="00D37CD0">
        <w:rPr>
          <w:sz w:val="24"/>
          <w:szCs w:val="24"/>
        </w:rPr>
        <w:t>[</w:t>
      </w:r>
      <w:r w:rsidR="00D37CD0" w:rsidRPr="00D37CD0">
        <w:rPr>
          <w:i/>
          <w:sz w:val="24"/>
          <w:szCs w:val="24"/>
        </w:rPr>
        <w:t>n</w:t>
      </w:r>
      <w:r w:rsidRPr="00D37CD0">
        <w:rPr>
          <w:i/>
          <w:sz w:val="24"/>
          <w:szCs w:val="24"/>
        </w:rPr>
        <w:t>o supplementary rules</w:t>
      </w:r>
      <w:r w:rsidRPr="00D37CD0">
        <w:rPr>
          <w:sz w:val="24"/>
          <w:szCs w:val="24"/>
        </w:rPr>
        <w:t>]</w:t>
      </w:r>
    </w:p>
    <w:p w:rsidR="00DA0C95" w:rsidRPr="00DA0C95" w:rsidRDefault="00DA0C95" w:rsidP="00DA0C95">
      <w:pPr>
        <w:rPr>
          <w:lang w:val="en-US"/>
        </w:rPr>
      </w:pPr>
      <w:r>
        <w:rPr>
          <w:lang w:val="en-US"/>
        </w:rPr>
        <w:br w:type="page"/>
      </w:r>
    </w:p>
    <w:p w:rsidR="006D7F25" w:rsidRDefault="006D7F25" w:rsidP="00E302D5">
      <w:pPr>
        <w:pStyle w:val="Chapter"/>
      </w:pPr>
      <w:bookmarkStart w:id="187" w:name="_Toc431389488"/>
      <w:bookmarkEnd w:id="170"/>
      <w:bookmarkEnd w:id="171"/>
      <w:bookmarkEnd w:id="172"/>
      <w:bookmarkEnd w:id="173"/>
      <w:bookmarkEnd w:id="185"/>
      <w:bookmarkEnd w:id="186"/>
      <w:r>
        <w:t>Chapte</w:t>
      </w:r>
      <w:r w:rsidR="009A6A0B">
        <w:t>r 7—</w:t>
      </w:r>
      <w:r>
        <w:t>Pre-trial procedures</w:t>
      </w:r>
      <w:bookmarkEnd w:id="187"/>
    </w:p>
    <w:p w:rsidR="00F36BFD" w:rsidRDefault="00F36BFD" w:rsidP="00F36BFD">
      <w:pPr>
        <w:pStyle w:val="Part"/>
      </w:pPr>
      <w:bookmarkStart w:id="188" w:name="_Toc388272985"/>
      <w:bookmarkStart w:id="189" w:name="_Toc431389489"/>
      <w:bookmarkStart w:id="190" w:name="_Toc387746015"/>
      <w:bookmarkStart w:id="191" w:name="_Toc387757803"/>
      <w:bookmarkStart w:id="192" w:name="_Toc387833070"/>
      <w:r>
        <w:t>Part 1—</w:t>
      </w:r>
      <w:bookmarkEnd w:id="188"/>
      <w:r>
        <w:t>Initial steps</w:t>
      </w:r>
      <w:bookmarkEnd w:id="189"/>
    </w:p>
    <w:p w:rsidR="00F36BFD" w:rsidRPr="00F43A74" w:rsidRDefault="00F36BFD" w:rsidP="00F36BFD">
      <w:pPr>
        <w:pStyle w:val="IndentedPara"/>
        <w:rPr>
          <w:sz w:val="24"/>
          <w:szCs w:val="24"/>
        </w:rPr>
      </w:pPr>
      <w:r w:rsidRPr="00F43A74">
        <w:rPr>
          <w:sz w:val="24"/>
          <w:szCs w:val="24"/>
        </w:rPr>
        <w:t>[</w:t>
      </w:r>
      <w:r w:rsidRPr="00F43A74">
        <w:rPr>
          <w:i/>
          <w:sz w:val="24"/>
          <w:szCs w:val="24"/>
        </w:rPr>
        <w:t>no supplementary rules</w:t>
      </w:r>
      <w:r w:rsidRPr="00F43A74">
        <w:rPr>
          <w:sz w:val="24"/>
          <w:szCs w:val="24"/>
        </w:rPr>
        <w:t>]</w:t>
      </w:r>
    </w:p>
    <w:p w:rsidR="00F36BFD" w:rsidRPr="00B7186E" w:rsidRDefault="00F36BFD" w:rsidP="00F36BFD">
      <w:pPr>
        <w:pStyle w:val="Part"/>
      </w:pPr>
      <w:bookmarkStart w:id="193" w:name="_Toc388260679"/>
      <w:bookmarkStart w:id="194" w:name="_Toc431389490"/>
      <w:r>
        <w:t xml:space="preserve">Part </w:t>
      </w:r>
      <w:r w:rsidR="00120C9C">
        <w:t>2</w:t>
      </w:r>
      <w:r>
        <w:t>—Interlocutory steps generally</w:t>
      </w:r>
      <w:bookmarkEnd w:id="193"/>
      <w:bookmarkEnd w:id="194"/>
    </w:p>
    <w:p w:rsidR="00F36BFD" w:rsidRPr="005A7E80" w:rsidRDefault="00F36BFD" w:rsidP="005A7E80">
      <w:pPr>
        <w:pStyle w:val="Division"/>
      </w:pPr>
      <w:bookmarkStart w:id="195" w:name="_Toc388260680"/>
      <w:bookmarkStart w:id="196" w:name="_Toc431389491"/>
      <w:r w:rsidRPr="005A7E80">
        <w:t>Division 1—Litigation plan</w:t>
      </w:r>
      <w:bookmarkEnd w:id="195"/>
      <w:bookmarkEnd w:id="196"/>
    </w:p>
    <w:p w:rsidR="00F36BFD" w:rsidRPr="00F43A74" w:rsidRDefault="00F36BFD" w:rsidP="00F36BFD">
      <w:pPr>
        <w:pStyle w:val="IndentedPara"/>
        <w:rPr>
          <w:sz w:val="24"/>
          <w:szCs w:val="24"/>
        </w:rPr>
      </w:pPr>
      <w:bookmarkStart w:id="197" w:name="_Toc388260684"/>
      <w:r w:rsidRPr="00F43A74">
        <w:rPr>
          <w:sz w:val="24"/>
          <w:szCs w:val="24"/>
        </w:rPr>
        <w:t>[</w:t>
      </w:r>
      <w:r w:rsidRPr="00F43A74">
        <w:rPr>
          <w:i/>
          <w:sz w:val="24"/>
          <w:szCs w:val="24"/>
        </w:rPr>
        <w:t>no supplementary rules</w:t>
      </w:r>
      <w:r w:rsidRPr="00F43A74">
        <w:rPr>
          <w:sz w:val="24"/>
          <w:szCs w:val="24"/>
        </w:rPr>
        <w:t>]</w:t>
      </w:r>
    </w:p>
    <w:p w:rsidR="00F36BFD" w:rsidRPr="005A7E80" w:rsidRDefault="00F36BFD" w:rsidP="005A7E80">
      <w:pPr>
        <w:pStyle w:val="Division"/>
      </w:pPr>
      <w:bookmarkStart w:id="198" w:name="_Toc431389492"/>
      <w:r w:rsidRPr="005A7E80">
        <w:t>Division 2—Directions hearings</w:t>
      </w:r>
      <w:bookmarkEnd w:id="197"/>
      <w:bookmarkEnd w:id="198"/>
    </w:p>
    <w:p w:rsidR="006D7F25" w:rsidRDefault="00221D0E" w:rsidP="006D7F25">
      <w:pPr>
        <w:pStyle w:val="clausehead"/>
      </w:pPr>
      <w:bookmarkStart w:id="199" w:name="_Toc390417499"/>
      <w:bookmarkStart w:id="200" w:name="_Toc392832925"/>
      <w:bookmarkStart w:id="201" w:name="_Toc394919037"/>
      <w:bookmarkStart w:id="202" w:name="_Toc394929068"/>
      <w:bookmarkStart w:id="203" w:name="_Toc396129499"/>
      <w:bookmarkStart w:id="204" w:name="_Toc396831156"/>
      <w:bookmarkStart w:id="205" w:name="_Toc431389493"/>
      <w:r>
        <w:t>16</w:t>
      </w:r>
      <w:r w:rsidR="006165F9">
        <w:t>—</w:t>
      </w:r>
      <w:r w:rsidR="004A6CD8">
        <w:t>Directions h</w:t>
      </w:r>
      <w:r w:rsidR="006D7F25">
        <w:t>earing</w:t>
      </w:r>
      <w:bookmarkEnd w:id="190"/>
      <w:bookmarkEnd w:id="191"/>
      <w:bookmarkEnd w:id="192"/>
      <w:bookmarkEnd w:id="199"/>
      <w:bookmarkEnd w:id="200"/>
      <w:bookmarkEnd w:id="201"/>
      <w:bookmarkEnd w:id="202"/>
      <w:bookmarkEnd w:id="203"/>
      <w:bookmarkEnd w:id="204"/>
      <w:bookmarkEnd w:id="205"/>
    </w:p>
    <w:p w:rsidR="006D7F25" w:rsidRPr="00F43A74" w:rsidRDefault="004A6CD8" w:rsidP="005B68D5">
      <w:pPr>
        <w:pStyle w:val="Hangindent"/>
        <w:rPr>
          <w:sz w:val="24"/>
          <w:szCs w:val="24"/>
          <w:lang w:val="en-US"/>
        </w:rPr>
      </w:pPr>
      <w:r w:rsidRPr="00F43A74">
        <w:rPr>
          <w:sz w:val="24"/>
          <w:szCs w:val="24"/>
          <w:lang w:val="en-US"/>
        </w:rPr>
        <w:t>(1)</w:t>
      </w:r>
      <w:r w:rsidRPr="00F43A74">
        <w:rPr>
          <w:sz w:val="24"/>
          <w:szCs w:val="24"/>
          <w:lang w:val="en-US"/>
        </w:rPr>
        <w:tab/>
        <w:t>Directions h</w:t>
      </w:r>
      <w:r w:rsidR="006D7F25" w:rsidRPr="00F43A74">
        <w:rPr>
          <w:sz w:val="24"/>
          <w:szCs w:val="24"/>
          <w:lang w:val="en-US"/>
        </w:rPr>
        <w:t>earings will generally be presided over by a Judge</w:t>
      </w:r>
      <w:r w:rsidRPr="00F43A74">
        <w:rPr>
          <w:sz w:val="24"/>
          <w:szCs w:val="24"/>
          <w:lang w:val="en-US"/>
        </w:rPr>
        <w:t xml:space="preserve"> of the Court</w:t>
      </w:r>
      <w:r w:rsidR="006D7F25" w:rsidRPr="00F43A74">
        <w:rPr>
          <w:sz w:val="24"/>
          <w:szCs w:val="24"/>
          <w:lang w:val="en-US"/>
        </w:rPr>
        <w:t>.</w:t>
      </w:r>
    </w:p>
    <w:p w:rsidR="006D7F25" w:rsidRPr="00F43A74" w:rsidRDefault="006D7F25" w:rsidP="005B68D5">
      <w:pPr>
        <w:pStyle w:val="Hangindent"/>
        <w:rPr>
          <w:sz w:val="24"/>
          <w:szCs w:val="24"/>
          <w:lang w:val="en-US"/>
        </w:rPr>
      </w:pPr>
      <w:r w:rsidRPr="00F43A74">
        <w:rPr>
          <w:sz w:val="24"/>
          <w:szCs w:val="24"/>
          <w:lang w:val="en-US"/>
        </w:rPr>
        <w:t>(2)</w:t>
      </w:r>
      <w:r w:rsidRPr="00F43A74">
        <w:rPr>
          <w:sz w:val="24"/>
          <w:szCs w:val="24"/>
          <w:lang w:val="en-US"/>
        </w:rPr>
        <w:tab/>
        <w:t xml:space="preserve">The purpose of </w:t>
      </w:r>
      <w:r w:rsidR="004A6CD8" w:rsidRPr="00F43A74">
        <w:rPr>
          <w:sz w:val="24"/>
          <w:szCs w:val="24"/>
          <w:lang w:val="en-US"/>
        </w:rPr>
        <w:t>d</w:t>
      </w:r>
      <w:r w:rsidRPr="00F43A74">
        <w:rPr>
          <w:sz w:val="24"/>
          <w:szCs w:val="24"/>
          <w:lang w:val="en-US"/>
        </w:rPr>
        <w:t xml:space="preserve">irections </w:t>
      </w:r>
      <w:r w:rsidR="004A6CD8" w:rsidRPr="00F43A74">
        <w:rPr>
          <w:sz w:val="24"/>
          <w:szCs w:val="24"/>
          <w:lang w:val="en-US"/>
        </w:rPr>
        <w:t>h</w:t>
      </w:r>
      <w:r w:rsidR="00833E99" w:rsidRPr="00F43A74">
        <w:rPr>
          <w:sz w:val="24"/>
          <w:szCs w:val="24"/>
          <w:lang w:val="en-US"/>
        </w:rPr>
        <w:t>earings is to</w:t>
      </w:r>
      <w:r w:rsidR="00BC55B5" w:rsidRPr="00F43A74">
        <w:rPr>
          <w:sz w:val="24"/>
          <w:szCs w:val="24"/>
          <w:lang w:val="en-US"/>
        </w:rPr>
        <w:t>—</w:t>
      </w:r>
    </w:p>
    <w:p w:rsidR="006D7F25" w:rsidRPr="00F43A74" w:rsidRDefault="006D7F25" w:rsidP="005B68D5">
      <w:pPr>
        <w:pStyle w:val="Doublehangingindent"/>
        <w:rPr>
          <w:sz w:val="24"/>
          <w:szCs w:val="24"/>
          <w:lang w:val="en-US"/>
        </w:rPr>
      </w:pPr>
      <w:r w:rsidRPr="00F43A74">
        <w:rPr>
          <w:sz w:val="24"/>
          <w:szCs w:val="24"/>
          <w:lang w:val="en-US"/>
        </w:rPr>
        <w:t>(a)</w:t>
      </w:r>
      <w:r w:rsidRPr="00F43A74">
        <w:rPr>
          <w:sz w:val="24"/>
          <w:szCs w:val="24"/>
          <w:lang w:val="en-US"/>
        </w:rPr>
        <w:tab/>
        <w:t>ascertain whether the matter can be resolved by settlement;</w:t>
      </w:r>
    </w:p>
    <w:p w:rsidR="006D7F25" w:rsidRPr="00F43A74" w:rsidRDefault="006D7F25" w:rsidP="005B68D5">
      <w:pPr>
        <w:pStyle w:val="Doublehangingindent"/>
        <w:rPr>
          <w:sz w:val="24"/>
          <w:szCs w:val="24"/>
          <w:lang w:val="en-US"/>
        </w:rPr>
      </w:pPr>
      <w:r w:rsidRPr="00F43A74">
        <w:rPr>
          <w:sz w:val="24"/>
          <w:szCs w:val="24"/>
          <w:lang w:val="en-US"/>
        </w:rPr>
        <w:t>(b)</w:t>
      </w:r>
      <w:r w:rsidRPr="00F43A74">
        <w:rPr>
          <w:sz w:val="24"/>
          <w:szCs w:val="24"/>
          <w:lang w:val="en-US"/>
        </w:rPr>
        <w:tab/>
        <w:t>crystallise the issues in dispute; and</w:t>
      </w:r>
    </w:p>
    <w:p w:rsidR="006D7F25" w:rsidRDefault="006D7F25" w:rsidP="005B68D5">
      <w:pPr>
        <w:pStyle w:val="Doublehangingindent"/>
        <w:rPr>
          <w:sz w:val="24"/>
          <w:szCs w:val="24"/>
          <w:lang w:val="en-US"/>
        </w:rPr>
      </w:pPr>
      <w:r w:rsidRPr="00F43A74">
        <w:rPr>
          <w:sz w:val="24"/>
          <w:szCs w:val="24"/>
          <w:lang w:val="en-US"/>
        </w:rPr>
        <w:t>(c)</w:t>
      </w:r>
      <w:r w:rsidRPr="00F43A74">
        <w:rPr>
          <w:sz w:val="24"/>
          <w:szCs w:val="24"/>
          <w:lang w:val="en-US"/>
        </w:rPr>
        <w:tab/>
        <w:t>ensure that the matter proceeds as expedit</w:t>
      </w:r>
      <w:r w:rsidR="005B68D5" w:rsidRPr="00F43A74">
        <w:rPr>
          <w:sz w:val="24"/>
          <w:szCs w:val="24"/>
          <w:lang w:val="en-US"/>
        </w:rPr>
        <w:t xml:space="preserve">iously and efficiently as </w:t>
      </w:r>
      <w:r w:rsidRPr="00F43A74">
        <w:rPr>
          <w:sz w:val="24"/>
          <w:szCs w:val="24"/>
          <w:lang w:val="en-US"/>
        </w:rPr>
        <w:t>possible to trial.</w:t>
      </w:r>
    </w:p>
    <w:p w:rsidR="007D207C" w:rsidRDefault="00286083" w:rsidP="00286083">
      <w:pPr>
        <w:pStyle w:val="Chapter"/>
      </w:pPr>
      <w:r>
        <w:rPr>
          <w:sz w:val="24"/>
          <w:szCs w:val="24"/>
        </w:rPr>
        <w:br w:type="page"/>
      </w:r>
      <w:bookmarkStart w:id="206" w:name="_Toc431389494"/>
      <w:r w:rsidR="009A6A0B">
        <w:t>Chapter 8—</w:t>
      </w:r>
      <w:r w:rsidR="008A7AD6">
        <w:t>Special kinds of action</w:t>
      </w:r>
      <w:bookmarkEnd w:id="206"/>
    </w:p>
    <w:p w:rsidR="009F262D" w:rsidRPr="00F43A74" w:rsidRDefault="009F262D" w:rsidP="009F262D">
      <w:pPr>
        <w:pStyle w:val="IndentedPara"/>
        <w:rPr>
          <w:sz w:val="24"/>
          <w:szCs w:val="24"/>
        </w:rPr>
      </w:pPr>
      <w:r w:rsidRPr="00F43A74">
        <w:rPr>
          <w:sz w:val="24"/>
          <w:szCs w:val="24"/>
        </w:rPr>
        <w:t>[</w:t>
      </w:r>
      <w:r w:rsidRPr="00F43A74">
        <w:rPr>
          <w:i/>
          <w:sz w:val="24"/>
          <w:szCs w:val="24"/>
        </w:rPr>
        <w:t>no supplementary rules</w:t>
      </w:r>
      <w:r w:rsidRPr="00F43A74">
        <w:rPr>
          <w:sz w:val="24"/>
          <w:szCs w:val="24"/>
        </w:rPr>
        <w:t>]</w:t>
      </w:r>
    </w:p>
    <w:p w:rsidR="00F36BFD" w:rsidRDefault="00F36BFD" w:rsidP="00F36BFD">
      <w:pPr>
        <w:pStyle w:val="Chapter"/>
      </w:pPr>
      <w:bookmarkStart w:id="207" w:name="_Toc388273017"/>
      <w:bookmarkStart w:id="208" w:name="_Toc431389495"/>
      <w:bookmarkStart w:id="209" w:name="_Toc383702773"/>
      <w:bookmarkStart w:id="210" w:name="_Toc383703310"/>
      <w:bookmarkStart w:id="211" w:name="_Toc385334934"/>
      <w:bookmarkStart w:id="212" w:name="_Toc388265384"/>
      <w:r>
        <w:t>Chapter 9—Trial</w:t>
      </w:r>
      <w:bookmarkEnd w:id="207"/>
      <w:bookmarkEnd w:id="208"/>
    </w:p>
    <w:p w:rsidR="00F36BFD" w:rsidRPr="00F43A74" w:rsidRDefault="00F36BFD" w:rsidP="00F36BFD">
      <w:pPr>
        <w:pStyle w:val="IndentedPara"/>
        <w:rPr>
          <w:sz w:val="24"/>
          <w:szCs w:val="24"/>
        </w:rPr>
      </w:pPr>
      <w:bookmarkStart w:id="213" w:name="_Toc388273018"/>
      <w:r w:rsidRPr="00F43A74">
        <w:rPr>
          <w:sz w:val="24"/>
          <w:szCs w:val="24"/>
        </w:rPr>
        <w:t>[</w:t>
      </w:r>
      <w:r w:rsidRPr="00F43A74">
        <w:rPr>
          <w:i/>
          <w:sz w:val="24"/>
          <w:szCs w:val="24"/>
        </w:rPr>
        <w:t>no supplementary rules</w:t>
      </w:r>
      <w:r w:rsidRPr="00F43A74">
        <w:rPr>
          <w:sz w:val="24"/>
          <w:szCs w:val="24"/>
        </w:rPr>
        <w:t>]</w:t>
      </w:r>
    </w:p>
    <w:p w:rsidR="00F36BFD" w:rsidRDefault="00F36BFD" w:rsidP="00F36BFD">
      <w:pPr>
        <w:pStyle w:val="Chapter"/>
      </w:pPr>
      <w:bookmarkStart w:id="214" w:name="_Toc431389496"/>
      <w:r>
        <w:t>Chapter 10—Alternative dispute resolution</w:t>
      </w:r>
      <w:bookmarkEnd w:id="213"/>
      <w:bookmarkEnd w:id="214"/>
    </w:p>
    <w:p w:rsidR="00F36BFD" w:rsidRPr="00F43A74" w:rsidRDefault="00F36BFD" w:rsidP="00F36BFD">
      <w:pPr>
        <w:pStyle w:val="IndentedPara"/>
        <w:rPr>
          <w:sz w:val="24"/>
          <w:szCs w:val="24"/>
        </w:rPr>
      </w:pPr>
      <w:bookmarkStart w:id="215" w:name="_Toc388273019"/>
      <w:r w:rsidRPr="00F43A74">
        <w:rPr>
          <w:sz w:val="24"/>
          <w:szCs w:val="24"/>
        </w:rPr>
        <w:t>[</w:t>
      </w:r>
      <w:r w:rsidRPr="00F43A74">
        <w:rPr>
          <w:i/>
          <w:sz w:val="24"/>
          <w:szCs w:val="24"/>
        </w:rPr>
        <w:t>no supplementary rules</w:t>
      </w:r>
      <w:r w:rsidRPr="00F43A74">
        <w:rPr>
          <w:sz w:val="24"/>
          <w:szCs w:val="24"/>
        </w:rPr>
        <w:t>]</w:t>
      </w:r>
    </w:p>
    <w:p w:rsidR="00F36BFD" w:rsidRDefault="00F36BFD" w:rsidP="00F36BFD">
      <w:pPr>
        <w:pStyle w:val="Chapter"/>
      </w:pPr>
      <w:bookmarkStart w:id="216" w:name="_Toc431389497"/>
      <w:r>
        <w:t>Chapter 11—Judgment</w:t>
      </w:r>
      <w:bookmarkEnd w:id="215"/>
      <w:bookmarkEnd w:id="216"/>
    </w:p>
    <w:p w:rsidR="00F36BFD" w:rsidRDefault="00F36BFD" w:rsidP="00F36BFD">
      <w:pPr>
        <w:pStyle w:val="IndentedPara"/>
      </w:pPr>
      <w:bookmarkStart w:id="217" w:name="_Toc388273020"/>
      <w:r>
        <w:t>[</w:t>
      </w:r>
      <w:r w:rsidRPr="005B68D5">
        <w:rPr>
          <w:i/>
        </w:rPr>
        <w:t xml:space="preserve">no </w:t>
      </w:r>
      <w:r w:rsidRPr="002A5CB8">
        <w:rPr>
          <w:i/>
        </w:rPr>
        <w:t>supplementary rules</w:t>
      </w:r>
      <w:r>
        <w:t>]</w:t>
      </w:r>
    </w:p>
    <w:p w:rsidR="00F36BFD" w:rsidRDefault="00F36BFD" w:rsidP="00F36BFD">
      <w:pPr>
        <w:pStyle w:val="Chapter"/>
      </w:pPr>
      <w:bookmarkStart w:id="218" w:name="_Toc431389498"/>
      <w:r>
        <w:t>Chapter 12—Costs</w:t>
      </w:r>
      <w:bookmarkEnd w:id="217"/>
      <w:bookmarkEnd w:id="218"/>
    </w:p>
    <w:p w:rsidR="00F36BFD" w:rsidRPr="00F43A74" w:rsidRDefault="00F36BFD" w:rsidP="00F36BFD">
      <w:pPr>
        <w:pStyle w:val="IndentedPara"/>
        <w:rPr>
          <w:sz w:val="24"/>
          <w:szCs w:val="24"/>
        </w:rPr>
      </w:pPr>
      <w:r w:rsidRPr="00F43A74">
        <w:rPr>
          <w:sz w:val="24"/>
          <w:szCs w:val="24"/>
        </w:rPr>
        <w:t>[</w:t>
      </w:r>
      <w:r w:rsidRPr="00F43A74">
        <w:rPr>
          <w:i/>
          <w:sz w:val="24"/>
          <w:szCs w:val="24"/>
        </w:rPr>
        <w:t>no supplementary rules</w:t>
      </w:r>
      <w:r w:rsidRPr="00F43A74">
        <w:rPr>
          <w:sz w:val="24"/>
          <w:szCs w:val="24"/>
        </w:rPr>
        <w:t>]</w:t>
      </w:r>
    </w:p>
    <w:p w:rsidR="004A75D7" w:rsidRDefault="004A75D7" w:rsidP="004A75D7">
      <w:pPr>
        <w:pStyle w:val="Chapter"/>
      </w:pPr>
      <w:bookmarkStart w:id="219" w:name="_Toc431389499"/>
      <w:r w:rsidRPr="0083511B">
        <w:t>Chapter 13—Appellate proceedings</w:t>
      </w:r>
      <w:bookmarkEnd w:id="209"/>
      <w:bookmarkEnd w:id="210"/>
      <w:bookmarkEnd w:id="211"/>
      <w:bookmarkEnd w:id="212"/>
      <w:bookmarkEnd w:id="219"/>
    </w:p>
    <w:p w:rsidR="00BE1B5B" w:rsidRPr="00F43A74" w:rsidRDefault="00BE1B5B" w:rsidP="00BE1B5B">
      <w:pPr>
        <w:pStyle w:val="IndentedPara"/>
        <w:rPr>
          <w:sz w:val="24"/>
          <w:szCs w:val="24"/>
        </w:rPr>
      </w:pPr>
      <w:bookmarkStart w:id="220" w:name="_Toc388273028"/>
      <w:bookmarkStart w:id="221" w:name="_Toc385334962"/>
      <w:bookmarkStart w:id="222" w:name="_Toc388265416"/>
      <w:r w:rsidRPr="00F43A74">
        <w:rPr>
          <w:sz w:val="24"/>
          <w:szCs w:val="24"/>
        </w:rPr>
        <w:t>[</w:t>
      </w:r>
      <w:r w:rsidRPr="00F43A74">
        <w:rPr>
          <w:i/>
          <w:sz w:val="24"/>
          <w:szCs w:val="24"/>
        </w:rPr>
        <w:t>no supplementary rules</w:t>
      </w:r>
      <w:r w:rsidRPr="00F43A74">
        <w:rPr>
          <w:sz w:val="24"/>
          <w:szCs w:val="24"/>
        </w:rPr>
        <w:t>]</w:t>
      </w:r>
    </w:p>
    <w:p w:rsidR="00F36BFD" w:rsidRDefault="00F36BFD" w:rsidP="00F36BFD">
      <w:pPr>
        <w:pStyle w:val="Chapter"/>
      </w:pPr>
      <w:bookmarkStart w:id="223" w:name="_Toc431389500"/>
      <w:r>
        <w:t>Chapter 14—Contempt of Court</w:t>
      </w:r>
      <w:bookmarkEnd w:id="220"/>
      <w:bookmarkEnd w:id="223"/>
    </w:p>
    <w:p w:rsidR="00BE1B5B" w:rsidRPr="00F43A74" w:rsidRDefault="00BE1B5B" w:rsidP="00BE1B5B">
      <w:pPr>
        <w:pStyle w:val="IndentedPara"/>
        <w:rPr>
          <w:sz w:val="24"/>
          <w:szCs w:val="24"/>
        </w:rPr>
      </w:pPr>
      <w:r w:rsidRPr="00F43A74">
        <w:rPr>
          <w:sz w:val="24"/>
          <w:szCs w:val="24"/>
        </w:rPr>
        <w:t>[</w:t>
      </w:r>
      <w:r w:rsidRPr="00F43A74">
        <w:rPr>
          <w:i/>
          <w:sz w:val="24"/>
          <w:szCs w:val="24"/>
        </w:rPr>
        <w:t>no supplementary rules</w:t>
      </w:r>
      <w:r w:rsidRPr="00F43A74">
        <w:rPr>
          <w:sz w:val="24"/>
          <w:szCs w:val="24"/>
        </w:rPr>
        <w:t>]</w:t>
      </w:r>
    </w:p>
    <w:p w:rsidR="004A75D7" w:rsidRPr="00AB3DB6" w:rsidRDefault="004A75D7" w:rsidP="00D87985">
      <w:pPr>
        <w:pStyle w:val="Chapter"/>
      </w:pPr>
      <w:bookmarkStart w:id="224" w:name="_Toc431389501"/>
      <w:r w:rsidRPr="00AB3DB6">
        <w:t>Chapter 15—Statutory proceedings</w:t>
      </w:r>
      <w:bookmarkEnd w:id="221"/>
      <w:bookmarkEnd w:id="222"/>
      <w:bookmarkEnd w:id="224"/>
    </w:p>
    <w:p w:rsidR="00BE1B5B" w:rsidRDefault="00BE1B5B" w:rsidP="00BE1B5B">
      <w:pPr>
        <w:pStyle w:val="IndentedPara"/>
        <w:rPr>
          <w:sz w:val="24"/>
          <w:szCs w:val="24"/>
        </w:rPr>
      </w:pPr>
      <w:r w:rsidRPr="00F43A74">
        <w:rPr>
          <w:sz w:val="24"/>
          <w:szCs w:val="24"/>
        </w:rPr>
        <w:t>[</w:t>
      </w:r>
      <w:r w:rsidRPr="00F43A74">
        <w:rPr>
          <w:i/>
          <w:sz w:val="24"/>
          <w:szCs w:val="24"/>
        </w:rPr>
        <w:t>no supplementary rules</w:t>
      </w:r>
      <w:r w:rsidRPr="00F43A74">
        <w:rPr>
          <w:sz w:val="24"/>
          <w:szCs w:val="24"/>
        </w:rPr>
        <w:t>]</w:t>
      </w:r>
    </w:p>
    <w:p w:rsidR="00DA0C95" w:rsidRDefault="00D72F6F" w:rsidP="00D72F6F">
      <w:pPr>
        <w:pStyle w:val="Chapter"/>
      </w:pPr>
      <w:r>
        <w:br w:type="page"/>
      </w:r>
      <w:bookmarkStart w:id="225" w:name="_Toc431389502"/>
      <w:r w:rsidR="00D87985">
        <w:t>History of Amendment</w:t>
      </w:r>
      <w:bookmarkEnd w:id="225"/>
    </w:p>
    <w:p w:rsidR="00D72F6F" w:rsidRPr="00D72F6F" w:rsidRDefault="00D72F6F" w:rsidP="00D72F6F">
      <w:pPr>
        <w:rPr>
          <w:lang w:val="en-US"/>
        </w:rPr>
      </w:pPr>
    </w:p>
    <w:tbl>
      <w:tblPr>
        <w:tblW w:w="911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5"/>
        <w:gridCol w:w="3827"/>
        <w:gridCol w:w="3119"/>
      </w:tblGrid>
      <w:tr w:rsidR="00D72F6F" w:rsidRPr="00EB2E55" w:rsidTr="00393833">
        <w:trPr>
          <w:cantSplit/>
          <w:tblHeader/>
        </w:trPr>
        <w:tc>
          <w:tcPr>
            <w:tcW w:w="2165" w:type="dxa"/>
            <w:tcBorders>
              <w:bottom w:val="double" w:sz="4" w:space="0" w:color="auto"/>
            </w:tcBorders>
            <w:noWrap/>
            <w:tcMar>
              <w:top w:w="15" w:type="dxa"/>
              <w:left w:w="360" w:type="dxa"/>
              <w:bottom w:w="0" w:type="dxa"/>
              <w:right w:w="15" w:type="dxa"/>
            </w:tcMar>
          </w:tcPr>
          <w:p w:rsidR="00D72F6F" w:rsidRPr="00EB2E55" w:rsidRDefault="00D72F6F" w:rsidP="00393833">
            <w:pPr>
              <w:spacing w:before="60" w:after="60"/>
              <w:rPr>
                <w:b/>
                <w:bCs/>
                <w:sz w:val="20"/>
                <w:szCs w:val="20"/>
              </w:rPr>
            </w:pPr>
            <w:r w:rsidRPr="00EB2E55">
              <w:rPr>
                <w:b/>
                <w:bCs/>
                <w:sz w:val="20"/>
                <w:szCs w:val="20"/>
              </w:rPr>
              <w:t>Rules</w:t>
            </w:r>
          </w:p>
        </w:tc>
        <w:tc>
          <w:tcPr>
            <w:tcW w:w="3827" w:type="dxa"/>
            <w:tcBorders>
              <w:bottom w:val="double" w:sz="4" w:space="0" w:color="auto"/>
            </w:tcBorders>
            <w:noWrap/>
            <w:tcMar>
              <w:top w:w="15" w:type="dxa"/>
              <w:left w:w="15" w:type="dxa"/>
              <w:bottom w:w="0" w:type="dxa"/>
              <w:right w:w="15" w:type="dxa"/>
            </w:tcMar>
          </w:tcPr>
          <w:p w:rsidR="00D72F6F" w:rsidRPr="00EB2E55" w:rsidRDefault="00D72F6F" w:rsidP="00393833">
            <w:pPr>
              <w:spacing w:before="60" w:after="60"/>
              <w:jc w:val="center"/>
              <w:rPr>
                <w:b/>
                <w:bCs/>
                <w:sz w:val="20"/>
                <w:szCs w:val="20"/>
              </w:rPr>
            </w:pPr>
            <w:r w:rsidRPr="00EB2E55">
              <w:rPr>
                <w:b/>
                <w:bCs/>
                <w:sz w:val="20"/>
                <w:szCs w:val="20"/>
              </w:rPr>
              <w:t>Amendments</w:t>
            </w:r>
          </w:p>
        </w:tc>
        <w:tc>
          <w:tcPr>
            <w:tcW w:w="3119" w:type="dxa"/>
            <w:tcBorders>
              <w:bottom w:val="double" w:sz="4" w:space="0" w:color="auto"/>
            </w:tcBorders>
            <w:noWrap/>
            <w:tcMar>
              <w:top w:w="15" w:type="dxa"/>
              <w:left w:w="15" w:type="dxa"/>
              <w:bottom w:w="0" w:type="dxa"/>
              <w:right w:w="15" w:type="dxa"/>
            </w:tcMar>
          </w:tcPr>
          <w:p w:rsidR="00D72F6F" w:rsidRPr="00EB2E55" w:rsidRDefault="00D72F6F" w:rsidP="00393833">
            <w:pPr>
              <w:spacing w:before="60" w:after="60"/>
              <w:jc w:val="center"/>
              <w:rPr>
                <w:b/>
                <w:bCs/>
                <w:sz w:val="20"/>
                <w:szCs w:val="20"/>
              </w:rPr>
            </w:pPr>
            <w:r w:rsidRPr="00EB2E55">
              <w:rPr>
                <w:b/>
                <w:bCs/>
                <w:sz w:val="20"/>
                <w:szCs w:val="20"/>
              </w:rPr>
              <w:t>Date of Operation</w:t>
            </w:r>
          </w:p>
        </w:tc>
      </w:tr>
      <w:tr w:rsidR="00D72F6F" w:rsidRPr="00EB2E55" w:rsidTr="00393833">
        <w:trPr>
          <w:cantSplit/>
          <w:tblHeader/>
        </w:trPr>
        <w:tc>
          <w:tcPr>
            <w:tcW w:w="9111" w:type="dxa"/>
            <w:gridSpan w:val="3"/>
            <w:tcBorders>
              <w:top w:val="double" w:sz="4" w:space="0" w:color="auto"/>
              <w:bottom w:val="double" w:sz="4" w:space="0" w:color="auto"/>
            </w:tcBorders>
            <w:noWrap/>
            <w:tcMar>
              <w:top w:w="15" w:type="dxa"/>
              <w:left w:w="360" w:type="dxa"/>
              <w:bottom w:w="0" w:type="dxa"/>
              <w:right w:w="15" w:type="dxa"/>
            </w:tcMar>
          </w:tcPr>
          <w:p w:rsidR="00D72F6F" w:rsidRPr="00EB2E55" w:rsidRDefault="00D72F6F" w:rsidP="00393833">
            <w:pPr>
              <w:spacing w:before="60" w:after="60"/>
              <w:jc w:val="center"/>
              <w:rPr>
                <w:sz w:val="20"/>
                <w:szCs w:val="20"/>
              </w:rPr>
            </w:pPr>
            <w:r w:rsidRPr="00EB2E55">
              <w:rPr>
                <w:sz w:val="20"/>
                <w:szCs w:val="20"/>
              </w:rPr>
              <w:t xml:space="preserve">am = amended; </w:t>
            </w:r>
            <w:smartTag w:uri="urn:schemas-microsoft-com:office:smarttags" w:element="place">
              <w:smartTag w:uri="urn:schemas-microsoft-com:office:smarttags" w:element="State">
                <w:r w:rsidRPr="00EB2E55">
                  <w:rPr>
                    <w:sz w:val="20"/>
                    <w:szCs w:val="20"/>
                  </w:rPr>
                  <w:t>del</w:t>
                </w:r>
              </w:smartTag>
            </w:smartTag>
            <w:r w:rsidRPr="00EB2E55">
              <w:rPr>
                <w:sz w:val="20"/>
                <w:szCs w:val="20"/>
              </w:rPr>
              <w:t xml:space="preserve"> = deleted; ins = inserted; ren = renumbered; </w:t>
            </w:r>
            <w:r w:rsidRPr="00EB2E55">
              <w:rPr>
                <w:sz w:val="20"/>
                <w:szCs w:val="20"/>
              </w:rPr>
              <w:br/>
              <w:t>sub = substituted</w:t>
            </w:r>
          </w:p>
        </w:tc>
      </w:tr>
      <w:tr w:rsidR="00D72F6F" w:rsidRPr="006900D9" w:rsidTr="00393833">
        <w:trPr>
          <w:cantSplit/>
        </w:trPr>
        <w:tc>
          <w:tcPr>
            <w:tcW w:w="2165" w:type="dxa"/>
            <w:noWrap/>
            <w:tcMar>
              <w:top w:w="15" w:type="dxa"/>
              <w:left w:w="360" w:type="dxa"/>
              <w:bottom w:w="0" w:type="dxa"/>
              <w:right w:w="15" w:type="dxa"/>
            </w:tcMar>
          </w:tcPr>
          <w:p w:rsidR="00D72F6F" w:rsidRPr="006900D9" w:rsidRDefault="00F72A60" w:rsidP="00F72A60">
            <w:pPr>
              <w:spacing w:before="60"/>
              <w:ind w:left="-180"/>
              <w:rPr>
                <w:b/>
                <w:sz w:val="20"/>
                <w:szCs w:val="20"/>
              </w:rPr>
            </w:pPr>
            <w:r>
              <w:rPr>
                <w:b/>
                <w:sz w:val="20"/>
                <w:szCs w:val="20"/>
              </w:rPr>
              <w:t>6A</w:t>
            </w:r>
            <w:r w:rsidR="00D72F6F" w:rsidRPr="006900D9">
              <w:rPr>
                <w:b/>
                <w:sz w:val="20"/>
                <w:szCs w:val="20"/>
              </w:rPr>
              <w:t xml:space="preserve"> </w:t>
            </w:r>
          </w:p>
        </w:tc>
        <w:tc>
          <w:tcPr>
            <w:tcW w:w="3827" w:type="dxa"/>
            <w:noWrap/>
            <w:tcMar>
              <w:top w:w="15" w:type="dxa"/>
              <w:left w:w="15" w:type="dxa"/>
              <w:bottom w:w="0" w:type="dxa"/>
              <w:right w:w="15" w:type="dxa"/>
            </w:tcMar>
          </w:tcPr>
          <w:p w:rsidR="00D72F6F" w:rsidRPr="006900D9" w:rsidRDefault="00D72F6F" w:rsidP="00393833">
            <w:pPr>
              <w:spacing w:before="60" w:after="60"/>
              <w:jc w:val="center"/>
              <w:rPr>
                <w:b/>
                <w:sz w:val="20"/>
                <w:szCs w:val="20"/>
              </w:rPr>
            </w:pPr>
            <w:r w:rsidRPr="006900D9">
              <w:rPr>
                <w:b/>
                <w:sz w:val="20"/>
                <w:szCs w:val="20"/>
              </w:rPr>
              <w:t>ins am01</w:t>
            </w:r>
          </w:p>
        </w:tc>
        <w:tc>
          <w:tcPr>
            <w:tcW w:w="3119" w:type="dxa"/>
            <w:noWrap/>
            <w:tcMar>
              <w:top w:w="15" w:type="dxa"/>
              <w:left w:w="15" w:type="dxa"/>
              <w:bottom w:w="0" w:type="dxa"/>
              <w:right w:w="15" w:type="dxa"/>
            </w:tcMar>
          </w:tcPr>
          <w:p w:rsidR="00D72F6F" w:rsidRPr="006900D9" w:rsidRDefault="00D72F6F" w:rsidP="00393833">
            <w:pPr>
              <w:spacing w:before="60" w:after="60"/>
              <w:jc w:val="center"/>
              <w:rPr>
                <w:b/>
                <w:sz w:val="20"/>
                <w:szCs w:val="20"/>
              </w:rPr>
            </w:pPr>
            <w:r w:rsidRPr="006900D9">
              <w:rPr>
                <w:b/>
                <w:sz w:val="20"/>
                <w:szCs w:val="20"/>
              </w:rPr>
              <w:t>1 December 2015</w:t>
            </w:r>
          </w:p>
        </w:tc>
      </w:tr>
      <w:tr w:rsidR="00D72F6F" w:rsidRPr="00F72A60" w:rsidTr="00393833">
        <w:trPr>
          <w:cantSplit/>
        </w:trPr>
        <w:tc>
          <w:tcPr>
            <w:tcW w:w="2165" w:type="dxa"/>
            <w:noWrap/>
            <w:tcMar>
              <w:top w:w="15" w:type="dxa"/>
              <w:left w:w="360" w:type="dxa"/>
              <w:bottom w:w="0" w:type="dxa"/>
              <w:right w:w="15" w:type="dxa"/>
            </w:tcMar>
          </w:tcPr>
          <w:p w:rsidR="00D72F6F" w:rsidRPr="00F72A60" w:rsidRDefault="00F72A60" w:rsidP="00F72A60">
            <w:pPr>
              <w:spacing w:before="60"/>
              <w:ind w:left="-180"/>
              <w:rPr>
                <w:b/>
                <w:sz w:val="20"/>
                <w:szCs w:val="20"/>
              </w:rPr>
            </w:pPr>
            <w:r w:rsidRPr="00F72A60">
              <w:rPr>
                <w:b/>
                <w:sz w:val="20"/>
                <w:szCs w:val="20"/>
              </w:rPr>
              <w:t xml:space="preserve">Chapter 3, Part 3, Subdivision 1 heading </w:t>
            </w:r>
          </w:p>
        </w:tc>
        <w:tc>
          <w:tcPr>
            <w:tcW w:w="3827" w:type="dxa"/>
            <w:noWrap/>
            <w:tcMar>
              <w:top w:w="15" w:type="dxa"/>
              <w:left w:w="15" w:type="dxa"/>
              <w:bottom w:w="0" w:type="dxa"/>
              <w:right w:w="15" w:type="dxa"/>
            </w:tcMar>
          </w:tcPr>
          <w:p w:rsidR="00D72F6F" w:rsidRPr="00F72A60" w:rsidRDefault="00F72A60" w:rsidP="00393833">
            <w:pPr>
              <w:spacing w:before="60" w:after="60"/>
              <w:jc w:val="center"/>
              <w:rPr>
                <w:b/>
                <w:sz w:val="20"/>
                <w:szCs w:val="20"/>
              </w:rPr>
            </w:pPr>
            <w:r w:rsidRPr="00F72A60">
              <w:rPr>
                <w:b/>
                <w:sz w:val="20"/>
                <w:szCs w:val="20"/>
              </w:rPr>
              <w:t>am am01</w:t>
            </w:r>
          </w:p>
        </w:tc>
        <w:tc>
          <w:tcPr>
            <w:tcW w:w="3119" w:type="dxa"/>
            <w:noWrap/>
            <w:tcMar>
              <w:top w:w="15" w:type="dxa"/>
              <w:left w:w="15" w:type="dxa"/>
              <w:bottom w:w="0" w:type="dxa"/>
              <w:right w:w="15" w:type="dxa"/>
            </w:tcMar>
          </w:tcPr>
          <w:p w:rsidR="00D72F6F" w:rsidRPr="00F72A60" w:rsidRDefault="00F72A60" w:rsidP="00393833">
            <w:pPr>
              <w:spacing w:before="60" w:after="60"/>
              <w:jc w:val="center"/>
              <w:rPr>
                <w:b/>
                <w:sz w:val="20"/>
                <w:szCs w:val="20"/>
              </w:rPr>
            </w:pPr>
            <w:r w:rsidRPr="00F72A60">
              <w:rPr>
                <w:b/>
                <w:sz w:val="20"/>
                <w:szCs w:val="20"/>
              </w:rPr>
              <w:t>1 December 2015</w:t>
            </w:r>
          </w:p>
        </w:tc>
      </w:tr>
      <w:tr w:rsidR="00D72F6F" w:rsidRPr="00F72A60" w:rsidTr="00393833">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D72F6F" w:rsidRPr="00F72A60" w:rsidRDefault="00F72A60" w:rsidP="00F72A60">
            <w:pPr>
              <w:spacing w:before="60"/>
              <w:ind w:left="-180"/>
              <w:rPr>
                <w:b/>
                <w:sz w:val="20"/>
                <w:szCs w:val="20"/>
              </w:rPr>
            </w:pPr>
            <w:r w:rsidRPr="00F72A60">
              <w:rPr>
                <w:b/>
                <w:sz w:val="20"/>
                <w:szCs w:val="20"/>
              </w:rPr>
              <w:t>7(2)</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D72F6F" w:rsidRPr="00F72A60" w:rsidRDefault="00F72A60" w:rsidP="00393833">
            <w:pPr>
              <w:spacing w:before="60" w:after="60"/>
              <w:jc w:val="center"/>
              <w:rPr>
                <w:b/>
                <w:sz w:val="20"/>
                <w:szCs w:val="20"/>
              </w:rPr>
            </w:pPr>
            <w:r w:rsidRPr="00F72A60">
              <w:rPr>
                <w:b/>
                <w:sz w:val="20"/>
                <w:szCs w:val="20"/>
              </w:rPr>
              <w:t>am am01</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D72F6F" w:rsidRPr="00F72A60" w:rsidRDefault="00F72A60" w:rsidP="00393833">
            <w:pPr>
              <w:spacing w:before="60" w:after="60"/>
              <w:jc w:val="center"/>
              <w:rPr>
                <w:b/>
                <w:sz w:val="20"/>
                <w:szCs w:val="20"/>
              </w:rPr>
            </w:pPr>
            <w:r w:rsidRPr="00F72A60">
              <w:rPr>
                <w:b/>
                <w:sz w:val="20"/>
                <w:szCs w:val="20"/>
              </w:rPr>
              <w:t>1 December 2015</w:t>
            </w:r>
          </w:p>
        </w:tc>
      </w:tr>
      <w:tr w:rsidR="00F72A60" w:rsidRPr="00F72A60" w:rsidTr="00393833">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F72A60" w:rsidRPr="00F72A60" w:rsidRDefault="00F72A60" w:rsidP="00F72A60">
            <w:pPr>
              <w:spacing w:before="60"/>
              <w:ind w:left="-180"/>
              <w:rPr>
                <w:b/>
                <w:sz w:val="20"/>
                <w:szCs w:val="20"/>
              </w:rPr>
            </w:pPr>
            <w:r w:rsidRPr="00F72A60">
              <w:rPr>
                <w:b/>
                <w:sz w:val="20"/>
                <w:szCs w:val="20"/>
              </w:rPr>
              <w:t>7A</w:t>
            </w: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72A60" w:rsidRPr="00F72A60" w:rsidRDefault="00F72A60" w:rsidP="00393833">
            <w:pPr>
              <w:spacing w:before="60" w:after="60"/>
              <w:jc w:val="center"/>
              <w:rPr>
                <w:b/>
                <w:sz w:val="20"/>
                <w:szCs w:val="20"/>
              </w:rPr>
            </w:pPr>
            <w:r w:rsidRPr="00F72A60">
              <w:rPr>
                <w:b/>
                <w:sz w:val="20"/>
                <w:szCs w:val="20"/>
              </w:rPr>
              <w:t>ins am01</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72A60" w:rsidRPr="00F72A60" w:rsidRDefault="00F72A60" w:rsidP="00393833">
            <w:pPr>
              <w:spacing w:before="60" w:after="60"/>
              <w:jc w:val="center"/>
              <w:rPr>
                <w:b/>
                <w:sz w:val="20"/>
                <w:szCs w:val="20"/>
              </w:rPr>
            </w:pPr>
            <w:r w:rsidRPr="00F72A60">
              <w:rPr>
                <w:b/>
                <w:sz w:val="20"/>
                <w:szCs w:val="20"/>
              </w:rPr>
              <w:t>1 December 2015</w:t>
            </w:r>
          </w:p>
        </w:tc>
      </w:tr>
    </w:tbl>
    <w:p w:rsidR="00D72F6F" w:rsidRPr="00E16D60" w:rsidRDefault="00D72F6F" w:rsidP="00D72F6F"/>
    <w:p w:rsidR="00DA0C95" w:rsidRDefault="00DA0C95" w:rsidP="00D72F6F">
      <w:pPr>
        <w:pStyle w:val="Hangindent"/>
        <w:ind w:left="567"/>
        <w:rPr>
          <w:lang w:val="en-US"/>
        </w:rPr>
      </w:pPr>
    </w:p>
    <w:sectPr w:rsidR="00DA0C95" w:rsidSect="00761C4F">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8B3" w:rsidRDefault="004728B3" w:rsidP="005B6098">
      <w:r>
        <w:separator/>
      </w:r>
    </w:p>
  </w:endnote>
  <w:endnote w:type="continuationSeparator" w:id="0">
    <w:p w:rsidR="004728B3" w:rsidRDefault="004728B3" w:rsidP="005B6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CD0" w:rsidRDefault="00D37CD0" w:rsidP="00C31BDD">
    <w:pPr>
      <w:pStyle w:val="Footer"/>
      <w:pBdr>
        <w:top w:val="single" w:sz="4" w:space="1" w:color="auto"/>
      </w:pBdr>
      <w:tabs>
        <w:tab w:val="clear" w:pos="4513"/>
      </w:tabs>
      <w:rPr>
        <w:lang w:val="en-AU"/>
      </w:rPr>
    </w:pPr>
    <w:r>
      <w:rPr>
        <w:lang w:val="en-AU"/>
      </w:rPr>
      <w:t>Land and Valuation Division Supplementary Rules 2014</w:t>
    </w:r>
    <w:r>
      <w:tab/>
    </w:r>
    <w:r>
      <w:fldChar w:fldCharType="begin"/>
    </w:r>
    <w:r>
      <w:instrText xml:space="preserve"> PAGE   \* MERGEFORMAT </w:instrText>
    </w:r>
    <w:r>
      <w:fldChar w:fldCharType="separate"/>
    </w:r>
    <w:r w:rsidR="00CE5A9F">
      <w:rPr>
        <w:noProof/>
      </w:rPr>
      <w:t>ii</w:t>
    </w:r>
    <w:r>
      <w:fldChar w:fldCharType="end"/>
    </w:r>
  </w:p>
  <w:p w:rsidR="00D37CD0" w:rsidRPr="00B87FB7" w:rsidRDefault="00FD50A0" w:rsidP="00C31BDD">
    <w:pPr>
      <w:pStyle w:val="Footer"/>
      <w:rPr>
        <w:lang w:val="en-AU"/>
      </w:rPr>
    </w:pPr>
    <w:r>
      <w:rPr>
        <w:lang w:val="en-AU"/>
      </w:rPr>
      <w:t xml:space="preserve">Current to 1 </w:t>
    </w:r>
    <w:r w:rsidR="00D72F6F">
      <w:rPr>
        <w:lang w:val="en-AU"/>
      </w:rPr>
      <w:t>December 2015 (Amendment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CD0" w:rsidRDefault="00D37C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8B3" w:rsidRDefault="004728B3" w:rsidP="005B6098">
      <w:r>
        <w:separator/>
      </w:r>
    </w:p>
  </w:footnote>
  <w:footnote w:type="continuationSeparator" w:id="0">
    <w:p w:rsidR="004728B3" w:rsidRDefault="004728B3" w:rsidP="005B60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311B3"/>
    <w:multiLevelType w:val="hybridMultilevel"/>
    <w:tmpl w:val="DEF4B5F6"/>
    <w:lvl w:ilvl="0" w:tplc="AE4636BA">
      <w:start w:val="1"/>
      <w:numFmt w:val="lowerLetter"/>
      <w:lvlText w:val="(%1)"/>
      <w:lvlJc w:val="left"/>
      <w:pPr>
        <w:ind w:left="1973" w:hanging="555"/>
      </w:pPr>
      <w:rPr>
        <w:rFonts w:cs="Times New Roman" w:hint="default"/>
      </w:rPr>
    </w:lvl>
    <w:lvl w:ilvl="1" w:tplc="0C090019" w:tentative="1">
      <w:start w:val="1"/>
      <w:numFmt w:val="lowerLetter"/>
      <w:lvlText w:val="%2."/>
      <w:lvlJc w:val="left"/>
      <w:pPr>
        <w:ind w:left="2498" w:hanging="360"/>
      </w:pPr>
      <w:rPr>
        <w:rFonts w:cs="Times New Roman"/>
      </w:rPr>
    </w:lvl>
    <w:lvl w:ilvl="2" w:tplc="0C09001B" w:tentative="1">
      <w:start w:val="1"/>
      <w:numFmt w:val="lowerRoman"/>
      <w:lvlText w:val="%3."/>
      <w:lvlJc w:val="right"/>
      <w:pPr>
        <w:ind w:left="3218" w:hanging="180"/>
      </w:pPr>
      <w:rPr>
        <w:rFonts w:cs="Times New Roman"/>
      </w:rPr>
    </w:lvl>
    <w:lvl w:ilvl="3" w:tplc="0C09000F" w:tentative="1">
      <w:start w:val="1"/>
      <w:numFmt w:val="decimal"/>
      <w:lvlText w:val="%4."/>
      <w:lvlJc w:val="left"/>
      <w:pPr>
        <w:ind w:left="3938" w:hanging="360"/>
      </w:pPr>
      <w:rPr>
        <w:rFonts w:cs="Times New Roman"/>
      </w:rPr>
    </w:lvl>
    <w:lvl w:ilvl="4" w:tplc="0C090019" w:tentative="1">
      <w:start w:val="1"/>
      <w:numFmt w:val="lowerLetter"/>
      <w:lvlText w:val="%5."/>
      <w:lvlJc w:val="left"/>
      <w:pPr>
        <w:ind w:left="4658" w:hanging="360"/>
      </w:pPr>
      <w:rPr>
        <w:rFonts w:cs="Times New Roman"/>
      </w:rPr>
    </w:lvl>
    <w:lvl w:ilvl="5" w:tplc="0C09001B" w:tentative="1">
      <w:start w:val="1"/>
      <w:numFmt w:val="lowerRoman"/>
      <w:lvlText w:val="%6."/>
      <w:lvlJc w:val="right"/>
      <w:pPr>
        <w:ind w:left="5378" w:hanging="180"/>
      </w:pPr>
      <w:rPr>
        <w:rFonts w:cs="Times New Roman"/>
      </w:rPr>
    </w:lvl>
    <w:lvl w:ilvl="6" w:tplc="0C09000F" w:tentative="1">
      <w:start w:val="1"/>
      <w:numFmt w:val="decimal"/>
      <w:lvlText w:val="%7."/>
      <w:lvlJc w:val="left"/>
      <w:pPr>
        <w:ind w:left="6098" w:hanging="360"/>
      </w:pPr>
      <w:rPr>
        <w:rFonts w:cs="Times New Roman"/>
      </w:rPr>
    </w:lvl>
    <w:lvl w:ilvl="7" w:tplc="0C090019" w:tentative="1">
      <w:start w:val="1"/>
      <w:numFmt w:val="lowerLetter"/>
      <w:lvlText w:val="%8."/>
      <w:lvlJc w:val="left"/>
      <w:pPr>
        <w:ind w:left="6818" w:hanging="360"/>
      </w:pPr>
      <w:rPr>
        <w:rFonts w:cs="Times New Roman"/>
      </w:rPr>
    </w:lvl>
    <w:lvl w:ilvl="8" w:tplc="0C09001B" w:tentative="1">
      <w:start w:val="1"/>
      <w:numFmt w:val="lowerRoman"/>
      <w:lvlText w:val="%9."/>
      <w:lvlJc w:val="right"/>
      <w:pPr>
        <w:ind w:left="7538" w:hanging="180"/>
      </w:pPr>
      <w:rPr>
        <w:rFonts w:cs="Times New Roman"/>
      </w:rPr>
    </w:lvl>
  </w:abstractNum>
  <w:abstractNum w:abstractNumId="1">
    <w:nsid w:val="5545065D"/>
    <w:multiLevelType w:val="hybridMultilevel"/>
    <w:tmpl w:val="88A6DB46"/>
    <w:lvl w:ilvl="0" w:tplc="547697D0">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
    <w:nsid w:val="637F5DCD"/>
    <w:multiLevelType w:val="hybridMultilevel"/>
    <w:tmpl w:val="20444AB2"/>
    <w:lvl w:ilvl="0" w:tplc="88FA6BFC">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B6F"/>
    <w:rsid w:val="000058B5"/>
    <w:rsid w:val="00015295"/>
    <w:rsid w:val="000254F3"/>
    <w:rsid w:val="00037EE6"/>
    <w:rsid w:val="000412EE"/>
    <w:rsid w:val="0005169A"/>
    <w:rsid w:val="000708A5"/>
    <w:rsid w:val="00082E97"/>
    <w:rsid w:val="000877BA"/>
    <w:rsid w:val="00090CF4"/>
    <w:rsid w:val="000B3B4B"/>
    <w:rsid w:val="000B667F"/>
    <w:rsid w:val="000B7EB5"/>
    <w:rsid w:val="000C441D"/>
    <w:rsid w:val="000D170D"/>
    <w:rsid w:val="000D55D5"/>
    <w:rsid w:val="000E4DB5"/>
    <w:rsid w:val="000E5CA1"/>
    <w:rsid w:val="000F1722"/>
    <w:rsid w:val="000F7671"/>
    <w:rsid w:val="00120C9C"/>
    <w:rsid w:val="00127B30"/>
    <w:rsid w:val="00130D9B"/>
    <w:rsid w:val="001527C5"/>
    <w:rsid w:val="00152CEF"/>
    <w:rsid w:val="00154117"/>
    <w:rsid w:val="00175A8B"/>
    <w:rsid w:val="00183D82"/>
    <w:rsid w:val="001B1167"/>
    <w:rsid w:val="001B1450"/>
    <w:rsid w:val="001B5A0D"/>
    <w:rsid w:val="001E22C6"/>
    <w:rsid w:val="001E2DAF"/>
    <w:rsid w:val="001E7D98"/>
    <w:rsid w:val="001F279E"/>
    <w:rsid w:val="002057E8"/>
    <w:rsid w:val="002146B8"/>
    <w:rsid w:val="002175D2"/>
    <w:rsid w:val="00221D0E"/>
    <w:rsid w:val="002229EA"/>
    <w:rsid w:val="00230F1C"/>
    <w:rsid w:val="00250C6C"/>
    <w:rsid w:val="00255804"/>
    <w:rsid w:val="002602B9"/>
    <w:rsid w:val="00263F1A"/>
    <w:rsid w:val="00272504"/>
    <w:rsid w:val="00275941"/>
    <w:rsid w:val="002855AA"/>
    <w:rsid w:val="00286083"/>
    <w:rsid w:val="002869D7"/>
    <w:rsid w:val="002946C9"/>
    <w:rsid w:val="00294D1C"/>
    <w:rsid w:val="002A5CB8"/>
    <w:rsid w:val="002A6CFC"/>
    <w:rsid w:val="002B2CEA"/>
    <w:rsid w:val="002B5387"/>
    <w:rsid w:val="002B6DFA"/>
    <w:rsid w:val="002C408A"/>
    <w:rsid w:val="002C5F97"/>
    <w:rsid w:val="002E7B33"/>
    <w:rsid w:val="002F20D8"/>
    <w:rsid w:val="002F232C"/>
    <w:rsid w:val="0030767B"/>
    <w:rsid w:val="00321F55"/>
    <w:rsid w:val="00323947"/>
    <w:rsid w:val="0033129B"/>
    <w:rsid w:val="00333BE1"/>
    <w:rsid w:val="00334CDE"/>
    <w:rsid w:val="00335F32"/>
    <w:rsid w:val="00343D10"/>
    <w:rsid w:val="0034681E"/>
    <w:rsid w:val="00350F44"/>
    <w:rsid w:val="003701D3"/>
    <w:rsid w:val="00373326"/>
    <w:rsid w:val="00373370"/>
    <w:rsid w:val="003A12BF"/>
    <w:rsid w:val="003A2B23"/>
    <w:rsid w:val="003B2E84"/>
    <w:rsid w:val="003C03D2"/>
    <w:rsid w:val="003C2AB2"/>
    <w:rsid w:val="003C7E6D"/>
    <w:rsid w:val="003D0B25"/>
    <w:rsid w:val="003E6AE2"/>
    <w:rsid w:val="004000A9"/>
    <w:rsid w:val="004010FB"/>
    <w:rsid w:val="004264B4"/>
    <w:rsid w:val="004412F8"/>
    <w:rsid w:val="004568FD"/>
    <w:rsid w:val="00464411"/>
    <w:rsid w:val="00471502"/>
    <w:rsid w:val="004728B3"/>
    <w:rsid w:val="00492854"/>
    <w:rsid w:val="004A6CD8"/>
    <w:rsid w:val="004A75D7"/>
    <w:rsid w:val="004D2758"/>
    <w:rsid w:val="00502420"/>
    <w:rsid w:val="00527375"/>
    <w:rsid w:val="00532B75"/>
    <w:rsid w:val="00545D08"/>
    <w:rsid w:val="00553F6D"/>
    <w:rsid w:val="0055431B"/>
    <w:rsid w:val="00555228"/>
    <w:rsid w:val="00574B8F"/>
    <w:rsid w:val="00590EAB"/>
    <w:rsid w:val="00594B4D"/>
    <w:rsid w:val="005955C2"/>
    <w:rsid w:val="005A25D5"/>
    <w:rsid w:val="005A7E80"/>
    <w:rsid w:val="005B6098"/>
    <w:rsid w:val="005B68D5"/>
    <w:rsid w:val="005D1201"/>
    <w:rsid w:val="005E5210"/>
    <w:rsid w:val="005E7D18"/>
    <w:rsid w:val="005F7DF0"/>
    <w:rsid w:val="006024D5"/>
    <w:rsid w:val="00606283"/>
    <w:rsid w:val="006165F9"/>
    <w:rsid w:val="00617372"/>
    <w:rsid w:val="006206D7"/>
    <w:rsid w:val="006340A3"/>
    <w:rsid w:val="0063596A"/>
    <w:rsid w:val="0063661F"/>
    <w:rsid w:val="006367C2"/>
    <w:rsid w:val="00637533"/>
    <w:rsid w:val="006459C8"/>
    <w:rsid w:val="0065570A"/>
    <w:rsid w:val="0066728B"/>
    <w:rsid w:val="006824BF"/>
    <w:rsid w:val="006A25DA"/>
    <w:rsid w:val="006B2CFD"/>
    <w:rsid w:val="006B2E80"/>
    <w:rsid w:val="006B52B7"/>
    <w:rsid w:val="006D0D9D"/>
    <w:rsid w:val="006D2A35"/>
    <w:rsid w:val="006D7F25"/>
    <w:rsid w:val="006E2402"/>
    <w:rsid w:val="006E5C79"/>
    <w:rsid w:val="006F263F"/>
    <w:rsid w:val="006F76B2"/>
    <w:rsid w:val="007008D3"/>
    <w:rsid w:val="0070232C"/>
    <w:rsid w:val="007160A8"/>
    <w:rsid w:val="00722492"/>
    <w:rsid w:val="00731359"/>
    <w:rsid w:val="00732DA1"/>
    <w:rsid w:val="007610CC"/>
    <w:rsid w:val="00761C4F"/>
    <w:rsid w:val="00765C0E"/>
    <w:rsid w:val="0079376F"/>
    <w:rsid w:val="007A14EE"/>
    <w:rsid w:val="007A27FE"/>
    <w:rsid w:val="007A5705"/>
    <w:rsid w:val="007D019C"/>
    <w:rsid w:val="007D207C"/>
    <w:rsid w:val="007E3066"/>
    <w:rsid w:val="007E59CA"/>
    <w:rsid w:val="007F1143"/>
    <w:rsid w:val="007F3461"/>
    <w:rsid w:val="008055C7"/>
    <w:rsid w:val="008061EE"/>
    <w:rsid w:val="0081447D"/>
    <w:rsid w:val="00822BE3"/>
    <w:rsid w:val="008253CB"/>
    <w:rsid w:val="00833E99"/>
    <w:rsid w:val="008405FF"/>
    <w:rsid w:val="00841734"/>
    <w:rsid w:val="0084413A"/>
    <w:rsid w:val="00853330"/>
    <w:rsid w:val="00871A48"/>
    <w:rsid w:val="00876027"/>
    <w:rsid w:val="00881D6D"/>
    <w:rsid w:val="00882F37"/>
    <w:rsid w:val="00890AE2"/>
    <w:rsid w:val="00891E17"/>
    <w:rsid w:val="0089610F"/>
    <w:rsid w:val="008A7AD6"/>
    <w:rsid w:val="008B305A"/>
    <w:rsid w:val="008B6A66"/>
    <w:rsid w:val="008C046A"/>
    <w:rsid w:val="008E7AC3"/>
    <w:rsid w:val="008F5653"/>
    <w:rsid w:val="00901DBE"/>
    <w:rsid w:val="00932963"/>
    <w:rsid w:val="0093338C"/>
    <w:rsid w:val="00946665"/>
    <w:rsid w:val="00961F58"/>
    <w:rsid w:val="00970D6F"/>
    <w:rsid w:val="00976D03"/>
    <w:rsid w:val="00981BD6"/>
    <w:rsid w:val="009854BD"/>
    <w:rsid w:val="009A6A0B"/>
    <w:rsid w:val="009B35EC"/>
    <w:rsid w:val="009C3BC6"/>
    <w:rsid w:val="009E260B"/>
    <w:rsid w:val="009F1144"/>
    <w:rsid w:val="009F262D"/>
    <w:rsid w:val="009F687D"/>
    <w:rsid w:val="009F7F93"/>
    <w:rsid w:val="00A017FF"/>
    <w:rsid w:val="00A01F47"/>
    <w:rsid w:val="00A108B7"/>
    <w:rsid w:val="00A14B57"/>
    <w:rsid w:val="00A34140"/>
    <w:rsid w:val="00A46C85"/>
    <w:rsid w:val="00A76361"/>
    <w:rsid w:val="00A801D8"/>
    <w:rsid w:val="00A85DB6"/>
    <w:rsid w:val="00A94BC6"/>
    <w:rsid w:val="00A967A4"/>
    <w:rsid w:val="00AA5A71"/>
    <w:rsid w:val="00AA7377"/>
    <w:rsid w:val="00AC71DB"/>
    <w:rsid w:val="00AD2017"/>
    <w:rsid w:val="00AD4D1E"/>
    <w:rsid w:val="00AD7F4A"/>
    <w:rsid w:val="00AF24CF"/>
    <w:rsid w:val="00AF4561"/>
    <w:rsid w:val="00AF588D"/>
    <w:rsid w:val="00B140A5"/>
    <w:rsid w:val="00B27961"/>
    <w:rsid w:val="00B71F00"/>
    <w:rsid w:val="00B71FFC"/>
    <w:rsid w:val="00B72B3D"/>
    <w:rsid w:val="00B81A57"/>
    <w:rsid w:val="00B87FB7"/>
    <w:rsid w:val="00BB1961"/>
    <w:rsid w:val="00BC0A73"/>
    <w:rsid w:val="00BC272E"/>
    <w:rsid w:val="00BC4A41"/>
    <w:rsid w:val="00BC55B5"/>
    <w:rsid w:val="00BD5B6F"/>
    <w:rsid w:val="00BE071B"/>
    <w:rsid w:val="00BE1B5B"/>
    <w:rsid w:val="00BE3668"/>
    <w:rsid w:val="00BE3AA2"/>
    <w:rsid w:val="00BF3A35"/>
    <w:rsid w:val="00C05459"/>
    <w:rsid w:val="00C05AC3"/>
    <w:rsid w:val="00C220FD"/>
    <w:rsid w:val="00C238B7"/>
    <w:rsid w:val="00C31BDD"/>
    <w:rsid w:val="00C3252A"/>
    <w:rsid w:val="00C3663D"/>
    <w:rsid w:val="00C3699B"/>
    <w:rsid w:val="00C378BC"/>
    <w:rsid w:val="00C54615"/>
    <w:rsid w:val="00C83E2A"/>
    <w:rsid w:val="00C90439"/>
    <w:rsid w:val="00CA3D77"/>
    <w:rsid w:val="00CA58D9"/>
    <w:rsid w:val="00CB174E"/>
    <w:rsid w:val="00CC2286"/>
    <w:rsid w:val="00CC77CE"/>
    <w:rsid w:val="00CD68A2"/>
    <w:rsid w:val="00CD7F07"/>
    <w:rsid w:val="00CE06FD"/>
    <w:rsid w:val="00CE0F91"/>
    <w:rsid w:val="00CE5A9F"/>
    <w:rsid w:val="00CE75CC"/>
    <w:rsid w:val="00CF1355"/>
    <w:rsid w:val="00D07BFE"/>
    <w:rsid w:val="00D22118"/>
    <w:rsid w:val="00D3228E"/>
    <w:rsid w:val="00D33810"/>
    <w:rsid w:val="00D37CD0"/>
    <w:rsid w:val="00D4153E"/>
    <w:rsid w:val="00D43D9A"/>
    <w:rsid w:val="00D51B17"/>
    <w:rsid w:val="00D72F6F"/>
    <w:rsid w:val="00D73C96"/>
    <w:rsid w:val="00D87985"/>
    <w:rsid w:val="00D87DAC"/>
    <w:rsid w:val="00DA0C95"/>
    <w:rsid w:val="00DB458B"/>
    <w:rsid w:val="00DB6CD1"/>
    <w:rsid w:val="00DC3BCF"/>
    <w:rsid w:val="00DD6E64"/>
    <w:rsid w:val="00DE2DE9"/>
    <w:rsid w:val="00DE42BF"/>
    <w:rsid w:val="00DF5D0D"/>
    <w:rsid w:val="00DF6008"/>
    <w:rsid w:val="00E05BAD"/>
    <w:rsid w:val="00E23DDA"/>
    <w:rsid w:val="00E302D5"/>
    <w:rsid w:val="00E46D0E"/>
    <w:rsid w:val="00E567D3"/>
    <w:rsid w:val="00E56AF7"/>
    <w:rsid w:val="00E60DDD"/>
    <w:rsid w:val="00E875A1"/>
    <w:rsid w:val="00EB1366"/>
    <w:rsid w:val="00ED6F6B"/>
    <w:rsid w:val="00EE0359"/>
    <w:rsid w:val="00EE52C1"/>
    <w:rsid w:val="00EE5CFD"/>
    <w:rsid w:val="00EF20C0"/>
    <w:rsid w:val="00F02117"/>
    <w:rsid w:val="00F20556"/>
    <w:rsid w:val="00F21FE1"/>
    <w:rsid w:val="00F2428C"/>
    <w:rsid w:val="00F30011"/>
    <w:rsid w:val="00F326FB"/>
    <w:rsid w:val="00F36BFD"/>
    <w:rsid w:val="00F421D2"/>
    <w:rsid w:val="00F43A74"/>
    <w:rsid w:val="00F501D1"/>
    <w:rsid w:val="00F5461B"/>
    <w:rsid w:val="00F54AC7"/>
    <w:rsid w:val="00F72A60"/>
    <w:rsid w:val="00F74DB9"/>
    <w:rsid w:val="00F919DC"/>
    <w:rsid w:val="00F936B1"/>
    <w:rsid w:val="00FB7815"/>
    <w:rsid w:val="00FC63B5"/>
    <w:rsid w:val="00FD50A0"/>
    <w:rsid w:val="00FD7119"/>
    <w:rsid w:val="00FE7B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C1316974-1260-42A4-8479-AD45D205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027"/>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81447D"/>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semiHidden/>
    <w:unhideWhenUsed/>
    <w:qFormat/>
    <w:rsid w:val="0081447D"/>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uiPriority w:val="9"/>
    <w:semiHidden/>
    <w:unhideWhenUsed/>
    <w:qFormat/>
    <w:rsid w:val="0081447D"/>
    <w:pPr>
      <w:keepNext/>
      <w:spacing w:before="240" w:after="60"/>
      <w:outlineLvl w:val="3"/>
    </w:pPr>
    <w:rPr>
      <w:rFonts w:ascii="Arial" w:eastAsia="Arial" w:hAnsi="Arial"/>
      <w:b/>
      <w:bCs/>
      <w:sz w:val="28"/>
      <w:szCs w:val="28"/>
      <w:lang w:val="x-none" w:eastAsia="x-none"/>
    </w:rPr>
  </w:style>
  <w:style w:type="paragraph" w:styleId="Heading5">
    <w:name w:val="heading 5"/>
    <w:basedOn w:val="Normal"/>
    <w:next w:val="Normal"/>
    <w:link w:val="Heading5Char"/>
    <w:uiPriority w:val="9"/>
    <w:semiHidden/>
    <w:unhideWhenUsed/>
    <w:qFormat/>
    <w:rsid w:val="0081447D"/>
    <w:pPr>
      <w:spacing w:before="240" w:after="60"/>
      <w:outlineLvl w:val="4"/>
    </w:pPr>
    <w:rPr>
      <w:rFonts w:ascii="Arial" w:eastAsia="Arial" w:hAnsi="Arial"/>
      <w:b/>
      <w:bCs/>
      <w:i/>
      <w:iCs/>
      <w:sz w:val="26"/>
      <w:szCs w:val="26"/>
      <w:lang w:val="x-none" w:eastAsia="x-none"/>
    </w:rPr>
  </w:style>
  <w:style w:type="paragraph" w:styleId="Heading6">
    <w:name w:val="heading 6"/>
    <w:basedOn w:val="Normal"/>
    <w:next w:val="Normal"/>
    <w:link w:val="Heading6Char"/>
    <w:uiPriority w:val="9"/>
    <w:semiHidden/>
    <w:unhideWhenUsed/>
    <w:qFormat/>
    <w:rsid w:val="0081447D"/>
    <w:pPr>
      <w:spacing w:before="240" w:after="60"/>
      <w:outlineLvl w:val="5"/>
    </w:pPr>
    <w:rPr>
      <w:rFonts w:ascii="Arial" w:eastAsia="Arial" w:hAnsi="Arial"/>
      <w:b/>
      <w:bCs/>
      <w:sz w:val="20"/>
      <w:szCs w:val="20"/>
      <w:lang w:val="x-none" w:eastAsia="x-none"/>
    </w:rPr>
  </w:style>
  <w:style w:type="paragraph" w:styleId="Heading7">
    <w:name w:val="heading 7"/>
    <w:basedOn w:val="Normal"/>
    <w:next w:val="Normal"/>
    <w:link w:val="Heading7Char"/>
    <w:uiPriority w:val="9"/>
    <w:semiHidden/>
    <w:unhideWhenUsed/>
    <w:qFormat/>
    <w:rsid w:val="0081447D"/>
    <w:pPr>
      <w:spacing w:before="240" w:after="60"/>
      <w:outlineLvl w:val="6"/>
    </w:pPr>
    <w:rPr>
      <w:rFonts w:ascii="Arial" w:eastAsia="Arial" w:hAnsi="Arial"/>
      <w:lang w:val="x-none" w:eastAsia="x-none"/>
    </w:rPr>
  </w:style>
  <w:style w:type="paragraph" w:styleId="Heading8">
    <w:name w:val="heading 8"/>
    <w:basedOn w:val="Normal"/>
    <w:next w:val="Normal"/>
    <w:link w:val="Heading8Char"/>
    <w:uiPriority w:val="9"/>
    <w:semiHidden/>
    <w:unhideWhenUsed/>
    <w:qFormat/>
    <w:rsid w:val="0081447D"/>
    <w:pPr>
      <w:spacing w:before="240" w:after="60"/>
      <w:outlineLvl w:val="7"/>
    </w:pPr>
    <w:rPr>
      <w:rFonts w:ascii="Arial" w:eastAsia="Arial" w:hAnsi="Arial"/>
      <w:i/>
      <w:iCs/>
      <w:lang w:val="x-none" w:eastAsia="x-none"/>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Arial" w:hAnsi="Arial"/>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447D"/>
    <w:rPr>
      <w:rFonts w:ascii="Arial" w:eastAsia="Times New Roman" w:hAnsi="Arial"/>
      <w:b/>
      <w:bCs/>
      <w:kern w:val="32"/>
      <w:sz w:val="32"/>
      <w:szCs w:val="32"/>
    </w:rPr>
  </w:style>
  <w:style w:type="character" w:customStyle="1" w:styleId="Heading2Char">
    <w:name w:val="Heading 2 Char"/>
    <w:link w:val="Heading2"/>
    <w:uiPriority w:val="9"/>
    <w:semiHidden/>
    <w:rsid w:val="0081447D"/>
    <w:rPr>
      <w:rFonts w:ascii="Arial" w:eastAsia="Times New Roman" w:hAnsi="Arial"/>
      <w:b/>
      <w:bCs/>
      <w:i/>
      <w:iCs/>
      <w:sz w:val="28"/>
      <w:szCs w:val="28"/>
    </w:rPr>
  </w:style>
  <w:style w:type="character" w:customStyle="1" w:styleId="Heading3Char">
    <w:name w:val="Heading 3 Char"/>
    <w:link w:val="Heading3"/>
    <w:uiPriority w:val="9"/>
    <w:semiHidden/>
    <w:rsid w:val="0081447D"/>
    <w:rPr>
      <w:rFonts w:ascii="Arial" w:eastAsia="Times New Roman" w:hAnsi="Arial"/>
      <w:b/>
      <w:bCs/>
      <w:sz w:val="26"/>
      <w:szCs w:val="26"/>
    </w:rPr>
  </w:style>
  <w:style w:type="character" w:customStyle="1" w:styleId="Heading4Char">
    <w:name w:val="Heading 4 Char"/>
    <w:link w:val="Heading4"/>
    <w:uiPriority w:val="9"/>
    <w:rsid w:val="0081447D"/>
    <w:rPr>
      <w:b/>
      <w:bCs/>
      <w:sz w:val="28"/>
      <w:szCs w:val="28"/>
    </w:rPr>
  </w:style>
  <w:style w:type="character" w:customStyle="1" w:styleId="Heading5Char">
    <w:name w:val="Heading 5 Char"/>
    <w:link w:val="Heading5"/>
    <w:uiPriority w:val="9"/>
    <w:semiHidden/>
    <w:rsid w:val="0081447D"/>
    <w:rPr>
      <w:b/>
      <w:bCs/>
      <w:i/>
      <w:iCs/>
      <w:sz w:val="26"/>
      <w:szCs w:val="26"/>
    </w:rPr>
  </w:style>
  <w:style w:type="character" w:customStyle="1" w:styleId="Heading6Char">
    <w:name w:val="Heading 6 Char"/>
    <w:link w:val="Heading6"/>
    <w:uiPriority w:val="9"/>
    <w:semiHidden/>
    <w:rsid w:val="0081447D"/>
    <w:rPr>
      <w:b/>
      <w:bCs/>
    </w:rPr>
  </w:style>
  <w:style w:type="character" w:customStyle="1" w:styleId="Heading7Char">
    <w:name w:val="Heading 7 Char"/>
    <w:link w:val="Heading7"/>
    <w:uiPriority w:val="9"/>
    <w:semiHidden/>
    <w:rsid w:val="0081447D"/>
    <w:rPr>
      <w:sz w:val="24"/>
      <w:szCs w:val="24"/>
    </w:rPr>
  </w:style>
  <w:style w:type="character" w:customStyle="1" w:styleId="Heading8Char">
    <w:name w:val="Heading 8 Char"/>
    <w:link w:val="Heading8"/>
    <w:uiPriority w:val="9"/>
    <w:semiHidden/>
    <w:rsid w:val="0081447D"/>
    <w:rPr>
      <w:i/>
      <w:iCs/>
      <w:sz w:val="24"/>
      <w:szCs w:val="24"/>
    </w:rPr>
  </w:style>
  <w:style w:type="character" w:customStyle="1" w:styleId="Heading9Char">
    <w:name w:val="Heading 9 Char"/>
    <w:link w:val="Heading9"/>
    <w:uiPriority w:val="9"/>
    <w:semiHidden/>
    <w:rsid w:val="0081447D"/>
    <w:rPr>
      <w:rFonts w:ascii="Arial" w:eastAsia="Times New Roman" w:hAnsi="Arial"/>
    </w:rPr>
  </w:style>
  <w:style w:type="paragraph" w:styleId="Title">
    <w:name w:val="Title"/>
    <w:basedOn w:val="Normal"/>
    <w:next w:val="Normal"/>
    <w:link w:val="TitleChar"/>
    <w:uiPriority w:val="10"/>
    <w:qFormat/>
    <w:rsid w:val="0081447D"/>
    <w:pPr>
      <w:spacing w:before="240" w:after="60"/>
      <w:jc w:val="center"/>
      <w:outlineLvl w:val="0"/>
    </w:pPr>
    <w:rPr>
      <w:rFonts w:ascii="Arial" w:hAnsi="Arial"/>
      <w:b/>
      <w:bCs/>
      <w:kern w:val="28"/>
      <w:sz w:val="32"/>
      <w:szCs w:val="32"/>
      <w:lang w:val="x-none" w:eastAsia="x-none"/>
    </w:rPr>
  </w:style>
  <w:style w:type="character" w:customStyle="1" w:styleId="TitleChar">
    <w:name w:val="Title Char"/>
    <w:link w:val="Title"/>
    <w:uiPriority w:val="10"/>
    <w:rsid w:val="0081447D"/>
    <w:rPr>
      <w:rFonts w:ascii="Arial" w:eastAsia="Times New Roman" w:hAnsi="Arial"/>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Arial" w:hAnsi="Arial"/>
      <w:lang w:val="x-none" w:eastAsia="x-none"/>
    </w:rPr>
  </w:style>
  <w:style w:type="character" w:customStyle="1" w:styleId="SubtitleChar">
    <w:name w:val="Subtitle Char"/>
    <w:link w:val="Subtitle"/>
    <w:uiPriority w:val="11"/>
    <w:rsid w:val="0081447D"/>
    <w:rPr>
      <w:rFonts w:ascii="Arial" w:eastAsia="Times New Roman" w:hAnsi="Arial"/>
      <w:sz w:val="24"/>
      <w:szCs w:val="24"/>
    </w:rPr>
  </w:style>
  <w:style w:type="character" w:styleId="Strong">
    <w:name w:val="Strong"/>
    <w:uiPriority w:val="22"/>
    <w:qFormat/>
    <w:rsid w:val="0081447D"/>
    <w:rPr>
      <w:b/>
      <w:bCs/>
    </w:rPr>
  </w:style>
  <w:style w:type="character" w:styleId="Emphasis">
    <w:name w:val="Emphasis"/>
    <w:uiPriority w:val="20"/>
    <w:qFormat/>
    <w:rsid w:val="0081447D"/>
    <w:rPr>
      <w:rFonts w:ascii="Arial" w:hAnsi="Arial"/>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rFonts w:ascii="Arial" w:eastAsia="Arial" w:hAnsi="Arial"/>
      <w:i/>
      <w:lang w:val="x-none" w:eastAsia="x-none"/>
    </w:rPr>
  </w:style>
  <w:style w:type="character" w:customStyle="1" w:styleId="QuoteChar">
    <w:name w:val="Quote Char"/>
    <w:link w:val="Quote"/>
    <w:uiPriority w:val="29"/>
    <w:rsid w:val="0081447D"/>
    <w:rPr>
      <w:i/>
      <w:sz w:val="24"/>
      <w:szCs w:val="24"/>
    </w:rPr>
  </w:style>
  <w:style w:type="paragraph" w:styleId="IntenseQuote">
    <w:name w:val="Intense Quote"/>
    <w:basedOn w:val="Normal"/>
    <w:next w:val="Normal"/>
    <w:link w:val="IntenseQuoteChar"/>
    <w:uiPriority w:val="30"/>
    <w:qFormat/>
    <w:rsid w:val="0081447D"/>
    <w:pPr>
      <w:ind w:left="720" w:right="720"/>
    </w:pPr>
    <w:rPr>
      <w:rFonts w:ascii="Arial" w:eastAsia="Arial" w:hAnsi="Arial"/>
      <w:b/>
      <w:i/>
      <w:szCs w:val="20"/>
      <w:lang w:val="x-none" w:eastAsia="x-none"/>
    </w:rPr>
  </w:style>
  <w:style w:type="character" w:customStyle="1" w:styleId="IntenseQuoteChar">
    <w:name w:val="Intense Quote Char"/>
    <w:link w:val="IntenseQuote"/>
    <w:uiPriority w:val="30"/>
    <w:rsid w:val="0081447D"/>
    <w:rPr>
      <w:b/>
      <w:i/>
      <w:sz w:val="24"/>
    </w:rPr>
  </w:style>
  <w:style w:type="character" w:styleId="SubtleEmphasis">
    <w:name w:val="Subtle Emphasis"/>
    <w:uiPriority w:val="19"/>
    <w:qFormat/>
    <w:rsid w:val="0081447D"/>
    <w:rPr>
      <w:i/>
      <w:color w:val="5A5A5A"/>
    </w:rPr>
  </w:style>
  <w:style w:type="character" w:styleId="IntenseEmphasis">
    <w:name w:val="Intense Emphasis"/>
    <w:uiPriority w:val="21"/>
    <w:qFormat/>
    <w:rsid w:val="0081447D"/>
    <w:rPr>
      <w:b/>
      <w:i/>
      <w:sz w:val="24"/>
      <w:szCs w:val="24"/>
      <w:u w:val="single"/>
    </w:rPr>
  </w:style>
  <w:style w:type="character" w:styleId="SubtleReference">
    <w:name w:val="Subtle Reference"/>
    <w:uiPriority w:val="31"/>
    <w:qFormat/>
    <w:rsid w:val="0081447D"/>
    <w:rPr>
      <w:sz w:val="24"/>
      <w:szCs w:val="24"/>
      <w:u w:val="single"/>
    </w:rPr>
  </w:style>
  <w:style w:type="character" w:styleId="IntenseReference">
    <w:name w:val="Intense Reference"/>
    <w:uiPriority w:val="32"/>
    <w:qFormat/>
    <w:rsid w:val="0081447D"/>
    <w:rPr>
      <w:b/>
      <w:sz w:val="24"/>
      <w:u w:val="single"/>
    </w:rPr>
  </w:style>
  <w:style w:type="character" w:styleId="BookTitle">
    <w:name w:val="Book Title"/>
    <w:uiPriority w:val="33"/>
    <w:qFormat/>
    <w:rsid w:val="0081447D"/>
    <w:rPr>
      <w:rFonts w:ascii="Arial" w:eastAsia="Times New Roman" w:hAnsi="Arial"/>
      <w:b/>
      <w:i/>
      <w:sz w:val="24"/>
      <w:szCs w:val="24"/>
    </w:rPr>
  </w:style>
  <w:style w:type="paragraph" w:styleId="TOCHeading">
    <w:name w:val="TOC Heading"/>
    <w:basedOn w:val="Heading1"/>
    <w:next w:val="Normal"/>
    <w:uiPriority w:val="39"/>
    <w:semiHidden/>
    <w:unhideWhenUsed/>
    <w:qFormat/>
    <w:rsid w:val="0081447D"/>
    <w:pPr>
      <w:outlineLvl w:val="9"/>
    </w:pPr>
  </w:style>
  <w:style w:type="paragraph" w:customStyle="1" w:styleId="clausehead">
    <w:name w:val="clausehead"/>
    <w:qFormat/>
    <w:rsid w:val="00BD5B6F"/>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US" w:eastAsia="en-US"/>
    </w:rPr>
  </w:style>
  <w:style w:type="paragraph" w:styleId="Header">
    <w:name w:val="header"/>
    <w:basedOn w:val="Normal"/>
    <w:link w:val="HeaderChar"/>
    <w:uiPriority w:val="99"/>
    <w:unhideWhenUsed/>
    <w:rsid w:val="005B6098"/>
    <w:pPr>
      <w:tabs>
        <w:tab w:val="center" w:pos="4513"/>
        <w:tab w:val="right" w:pos="9026"/>
      </w:tabs>
    </w:pPr>
    <w:rPr>
      <w:lang w:val="x-none"/>
    </w:rPr>
  </w:style>
  <w:style w:type="character" w:customStyle="1" w:styleId="HeaderChar">
    <w:name w:val="Header Char"/>
    <w:link w:val="Header"/>
    <w:uiPriority w:val="99"/>
    <w:rsid w:val="005B6098"/>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5B6098"/>
    <w:pPr>
      <w:tabs>
        <w:tab w:val="center" w:pos="4513"/>
        <w:tab w:val="right" w:pos="9026"/>
      </w:tabs>
    </w:pPr>
    <w:rPr>
      <w:lang w:val="x-none"/>
    </w:rPr>
  </w:style>
  <w:style w:type="character" w:customStyle="1" w:styleId="FooterChar">
    <w:name w:val="Footer Char"/>
    <w:link w:val="Footer"/>
    <w:uiPriority w:val="99"/>
    <w:rsid w:val="005B6098"/>
    <w:rPr>
      <w:rFonts w:ascii="Times New Roman" w:eastAsia="Times New Roman" w:hAnsi="Times New Roman"/>
      <w:sz w:val="24"/>
      <w:szCs w:val="24"/>
      <w:lang w:eastAsia="en-US"/>
    </w:rPr>
  </w:style>
  <w:style w:type="paragraph" w:customStyle="1" w:styleId="Chapter">
    <w:name w:val="Chapter"/>
    <w:basedOn w:val="Normal"/>
    <w:next w:val="Normal"/>
    <w:qFormat/>
    <w:rsid w:val="00E875A1"/>
    <w:pPr>
      <w:keepNext/>
      <w:keepLines/>
      <w:autoSpaceDE w:val="0"/>
      <w:autoSpaceDN w:val="0"/>
      <w:adjustRightInd w:val="0"/>
      <w:spacing w:before="280"/>
      <w:ind w:left="567" w:hanging="567"/>
    </w:pPr>
    <w:rPr>
      <w:b/>
      <w:bCs/>
      <w:color w:val="000000"/>
      <w:sz w:val="34"/>
      <w:szCs w:val="34"/>
      <w:lang w:val="en-US"/>
    </w:rPr>
  </w:style>
  <w:style w:type="paragraph" w:customStyle="1" w:styleId="Part">
    <w:name w:val="Part"/>
    <w:basedOn w:val="Normal"/>
    <w:next w:val="Normal"/>
    <w:qFormat/>
    <w:rsid w:val="00E875A1"/>
    <w:pPr>
      <w:keepNext/>
      <w:autoSpaceDE w:val="0"/>
      <w:autoSpaceDN w:val="0"/>
      <w:adjustRightInd w:val="0"/>
      <w:spacing w:before="280"/>
      <w:ind w:left="567" w:hanging="567"/>
    </w:pPr>
    <w:rPr>
      <w:b/>
      <w:bCs/>
      <w:color w:val="000000"/>
      <w:sz w:val="32"/>
      <w:szCs w:val="32"/>
      <w:lang w:val="en-US"/>
    </w:rPr>
  </w:style>
  <w:style w:type="paragraph" w:customStyle="1" w:styleId="IndentedPara">
    <w:name w:val="IndentedPara"/>
    <w:basedOn w:val="Normal"/>
    <w:next w:val="Normal"/>
    <w:qFormat/>
    <w:rsid w:val="00722492"/>
    <w:pPr>
      <w:tabs>
        <w:tab w:val="left" w:pos="851"/>
      </w:tabs>
      <w:autoSpaceDE w:val="0"/>
      <w:autoSpaceDN w:val="0"/>
      <w:adjustRightInd w:val="0"/>
      <w:spacing w:before="120" w:after="120"/>
      <w:ind w:left="851"/>
    </w:pPr>
    <w:rPr>
      <w:color w:val="000000"/>
      <w:sz w:val="23"/>
      <w:szCs w:val="23"/>
      <w:lang w:val="en-US"/>
    </w:rPr>
  </w:style>
  <w:style w:type="paragraph" w:customStyle="1" w:styleId="Doublehangingindent">
    <w:name w:val="Double hanging indent"/>
    <w:basedOn w:val="Normal"/>
    <w:qFormat/>
    <w:rsid w:val="00722492"/>
    <w:pPr>
      <w:spacing w:after="120"/>
      <w:ind w:left="1985" w:hanging="567"/>
    </w:pPr>
    <w:rPr>
      <w:rFonts w:eastAsia="Calibri"/>
      <w:sz w:val="23"/>
      <w:szCs w:val="23"/>
    </w:rPr>
  </w:style>
  <w:style w:type="paragraph" w:customStyle="1" w:styleId="Hangindent">
    <w:name w:val="Hang indent"/>
    <w:basedOn w:val="Normal"/>
    <w:qFormat/>
    <w:rsid w:val="004A6CD8"/>
    <w:pPr>
      <w:spacing w:before="120" w:after="120"/>
      <w:ind w:left="1418" w:hanging="567"/>
    </w:pPr>
    <w:rPr>
      <w:rFonts w:eastAsia="Calibri"/>
      <w:sz w:val="23"/>
      <w:szCs w:val="23"/>
    </w:rPr>
  </w:style>
  <w:style w:type="paragraph" w:customStyle="1" w:styleId="Division">
    <w:name w:val="Division"/>
    <w:basedOn w:val="clausehead"/>
    <w:next w:val="IndentedPara"/>
    <w:uiPriority w:val="99"/>
    <w:qFormat/>
    <w:rsid w:val="004A6CD8"/>
    <w:rPr>
      <w:sz w:val="28"/>
    </w:rPr>
  </w:style>
  <w:style w:type="character" w:styleId="Hyperlink">
    <w:name w:val="Hyperlink"/>
    <w:uiPriority w:val="99"/>
    <w:unhideWhenUsed/>
    <w:rsid w:val="00C31BDD"/>
    <w:rPr>
      <w:color w:val="0000FF"/>
      <w:u w:val="single"/>
    </w:rPr>
  </w:style>
  <w:style w:type="paragraph" w:styleId="TOC1">
    <w:name w:val="toc 1"/>
    <w:basedOn w:val="Chapter"/>
    <w:next w:val="Normal"/>
    <w:autoRedefine/>
    <w:uiPriority w:val="39"/>
    <w:unhideWhenUsed/>
    <w:rsid w:val="00D37CD0"/>
    <w:pPr>
      <w:tabs>
        <w:tab w:val="right" w:leader="dot" w:pos="9016"/>
      </w:tabs>
      <w:spacing w:before="0" w:after="120"/>
      <w:ind w:left="720" w:hanging="720"/>
    </w:pPr>
    <w:rPr>
      <w:bCs w:val="0"/>
      <w:sz w:val="32"/>
      <w:szCs w:val="28"/>
    </w:rPr>
  </w:style>
  <w:style w:type="paragraph" w:styleId="TOC2">
    <w:name w:val="toc 2"/>
    <w:basedOn w:val="Part"/>
    <w:next w:val="Normal"/>
    <w:autoRedefine/>
    <w:uiPriority w:val="39"/>
    <w:unhideWhenUsed/>
    <w:rsid w:val="00D37CD0"/>
    <w:pPr>
      <w:spacing w:before="120" w:after="120"/>
      <w:ind w:left="238" w:firstLine="0"/>
    </w:pPr>
    <w:rPr>
      <w:b w:val="0"/>
      <w:sz w:val="30"/>
    </w:rPr>
  </w:style>
  <w:style w:type="paragraph" w:styleId="TOC3">
    <w:name w:val="toc 3"/>
    <w:basedOn w:val="Division"/>
    <w:next w:val="Normal"/>
    <w:autoRedefine/>
    <w:uiPriority w:val="39"/>
    <w:unhideWhenUsed/>
    <w:rsid w:val="00D37CD0"/>
    <w:pPr>
      <w:spacing w:before="120" w:after="120"/>
      <w:ind w:left="482" w:firstLine="0"/>
      <w:contextualSpacing/>
    </w:pPr>
    <w:rPr>
      <w:b w:val="0"/>
    </w:rPr>
  </w:style>
  <w:style w:type="paragraph" w:styleId="TOC4">
    <w:name w:val="toc 4"/>
    <w:basedOn w:val="clausehead"/>
    <w:next w:val="Normal"/>
    <w:autoRedefine/>
    <w:uiPriority w:val="39"/>
    <w:unhideWhenUsed/>
    <w:rsid w:val="00D37CD0"/>
    <w:pPr>
      <w:tabs>
        <w:tab w:val="right" w:leader="dot" w:pos="9016"/>
      </w:tabs>
      <w:spacing w:before="120" w:after="120"/>
      <w:ind w:left="1049"/>
      <w:contextualSpacing/>
    </w:pPr>
    <w:rPr>
      <w:b w:val="0"/>
    </w:rPr>
  </w:style>
  <w:style w:type="paragraph" w:customStyle="1" w:styleId="SubPart">
    <w:name w:val="SubPart"/>
    <w:basedOn w:val="clausehead"/>
    <w:next w:val="IndentedPara"/>
    <w:qFormat/>
    <w:rsid w:val="00F36BFD"/>
    <w:pPr>
      <w:keepLines w:val="0"/>
    </w:pPr>
    <w:rPr>
      <w:sz w:val="23"/>
      <w:lang w:val="en-AU"/>
    </w:rPr>
  </w:style>
  <w:style w:type="character" w:customStyle="1" w:styleId="HeaderChar1">
    <w:name w:val="Header Char1"/>
    <w:locked/>
    <w:rsid w:val="00932963"/>
    <w:rPr>
      <w:rFonts w:ascii="Times New Roman" w:hAnsi="Times New Roman"/>
      <w:sz w:val="24"/>
      <w:szCs w:val="20"/>
      <w:lang w:val="en-AU"/>
    </w:rPr>
  </w:style>
  <w:style w:type="paragraph" w:styleId="BodyText">
    <w:name w:val="Body Text"/>
    <w:basedOn w:val="Normal"/>
    <w:link w:val="BodyTextChar1"/>
    <w:uiPriority w:val="99"/>
    <w:rsid w:val="00BE3668"/>
    <w:pPr>
      <w:tabs>
        <w:tab w:val="left" w:pos="1134"/>
        <w:tab w:val="left" w:pos="2342"/>
        <w:tab w:val="left" w:pos="4536"/>
      </w:tabs>
      <w:overflowPunct w:val="0"/>
      <w:autoSpaceDE w:val="0"/>
      <w:autoSpaceDN w:val="0"/>
      <w:adjustRightInd w:val="0"/>
      <w:spacing w:line="360" w:lineRule="auto"/>
      <w:textAlignment w:val="baseline"/>
    </w:pPr>
    <w:rPr>
      <w:rFonts w:ascii="Arial" w:eastAsia="Arial" w:hAnsi="Arial"/>
      <w:lang w:val="x-none"/>
    </w:rPr>
  </w:style>
  <w:style w:type="character" w:customStyle="1" w:styleId="BodyTextChar">
    <w:name w:val="Body Text Char"/>
    <w:uiPriority w:val="99"/>
    <w:semiHidden/>
    <w:rsid w:val="00BE3668"/>
    <w:rPr>
      <w:rFonts w:ascii="Times New Roman" w:eastAsia="Times New Roman" w:hAnsi="Times New Roman"/>
      <w:sz w:val="24"/>
      <w:szCs w:val="24"/>
      <w:lang w:eastAsia="en-US"/>
    </w:rPr>
  </w:style>
  <w:style w:type="character" w:customStyle="1" w:styleId="BodyTextChar1">
    <w:name w:val="Body Text Char1"/>
    <w:link w:val="BodyText"/>
    <w:uiPriority w:val="99"/>
    <w:locked/>
    <w:rsid w:val="00BE3668"/>
    <w:rPr>
      <w:rFonts w:cs="Arial"/>
      <w:sz w:val="24"/>
      <w:szCs w:val="24"/>
      <w:lang w:eastAsia="en-US"/>
    </w:rPr>
  </w:style>
  <w:style w:type="paragraph" w:styleId="EndnoteText">
    <w:name w:val="endnote text"/>
    <w:basedOn w:val="Normal"/>
    <w:link w:val="EndnoteTextChar1"/>
    <w:uiPriority w:val="99"/>
    <w:semiHidden/>
    <w:rsid w:val="00BE3668"/>
    <w:pPr>
      <w:widowControl w:val="0"/>
      <w:tabs>
        <w:tab w:val="left" w:pos="1134"/>
        <w:tab w:val="left" w:pos="2342"/>
        <w:tab w:val="left" w:pos="4536"/>
      </w:tabs>
      <w:overflowPunct w:val="0"/>
      <w:autoSpaceDE w:val="0"/>
      <w:autoSpaceDN w:val="0"/>
      <w:adjustRightInd w:val="0"/>
      <w:spacing w:line="360" w:lineRule="auto"/>
      <w:textAlignment w:val="baseline"/>
    </w:pPr>
    <w:rPr>
      <w:rFonts w:ascii="CG Times" w:eastAsia="Arial" w:hAnsi="CG Times"/>
      <w:lang w:val="x-none"/>
    </w:rPr>
  </w:style>
  <w:style w:type="character" w:customStyle="1" w:styleId="EndnoteTextChar">
    <w:name w:val="Endnote Text Char"/>
    <w:uiPriority w:val="99"/>
    <w:semiHidden/>
    <w:rsid w:val="00BE3668"/>
    <w:rPr>
      <w:rFonts w:ascii="Times New Roman" w:eastAsia="Times New Roman" w:hAnsi="Times New Roman"/>
      <w:lang w:eastAsia="en-US"/>
    </w:rPr>
  </w:style>
  <w:style w:type="character" w:customStyle="1" w:styleId="EndnoteTextChar1">
    <w:name w:val="Endnote Text Char1"/>
    <w:link w:val="EndnoteText"/>
    <w:uiPriority w:val="99"/>
    <w:semiHidden/>
    <w:locked/>
    <w:rsid w:val="00BE3668"/>
    <w:rPr>
      <w:rFonts w:ascii="CG Times" w:hAnsi="CG Times"/>
      <w:sz w:val="24"/>
      <w:szCs w:val="24"/>
      <w:lang w:eastAsia="en-US"/>
    </w:rPr>
  </w:style>
  <w:style w:type="paragraph" w:styleId="TOC5">
    <w:name w:val="toc 5"/>
    <w:basedOn w:val="Normal"/>
    <w:next w:val="Normal"/>
    <w:autoRedefine/>
    <w:uiPriority w:val="39"/>
    <w:unhideWhenUsed/>
    <w:rsid w:val="00D37CD0"/>
    <w:pPr>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9446">
      <w:bodyDiv w:val="1"/>
      <w:marLeft w:val="0"/>
      <w:marRight w:val="0"/>
      <w:marTop w:val="0"/>
      <w:marBottom w:val="0"/>
      <w:divBdr>
        <w:top w:val="none" w:sz="0" w:space="0" w:color="auto"/>
        <w:left w:val="none" w:sz="0" w:space="0" w:color="auto"/>
        <w:bottom w:val="none" w:sz="0" w:space="0" w:color="auto"/>
        <w:right w:val="none" w:sz="0" w:space="0" w:color="auto"/>
      </w:divBdr>
    </w:div>
    <w:div w:id="167106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FB7FAE-9FD8-4068-B2FC-09BDC8958CED}"/>
</file>

<file path=customXml/itemProps2.xml><?xml version="1.0" encoding="utf-8"?>
<ds:datastoreItem xmlns:ds="http://schemas.openxmlformats.org/officeDocument/2006/customXml" ds:itemID="{A54675EF-9481-4E57-A187-7838CBC9940A}"/>
</file>

<file path=customXml/itemProps3.xml><?xml version="1.0" encoding="utf-8"?>
<ds:datastoreItem xmlns:ds="http://schemas.openxmlformats.org/officeDocument/2006/customXml" ds:itemID="{A3E28A93-B523-46A7-8342-C630F22C59ED}"/>
</file>

<file path=customXml/itemProps4.xml><?xml version="1.0" encoding="utf-8"?>
<ds:datastoreItem xmlns:ds="http://schemas.openxmlformats.org/officeDocument/2006/customXml" ds:itemID="{CEDD27DF-48D3-47BA-96D9-FF0C476C7667}"/>
</file>

<file path=docProps/app.xml><?xml version="1.0" encoding="utf-8"?>
<Properties xmlns="http://schemas.openxmlformats.org/officeDocument/2006/extended-properties" xmlns:vt="http://schemas.openxmlformats.org/officeDocument/2006/docPropsVTypes">
  <Template>Normal.dotm</Template>
  <TotalTime>43</TotalTime>
  <Pages>14</Pages>
  <Words>1792</Words>
  <Characters>10216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Courts Administration Authority</Company>
  <LinksUpToDate>false</LinksUpToDate>
  <CharactersWithSpaces>11985</CharactersWithSpaces>
  <SharedDoc>false</SharedDoc>
  <HLinks>
    <vt:vector size="306" baseType="variant">
      <vt:variant>
        <vt:i4>1376304</vt:i4>
      </vt:variant>
      <vt:variant>
        <vt:i4>152</vt:i4>
      </vt:variant>
      <vt:variant>
        <vt:i4>0</vt:i4>
      </vt:variant>
      <vt:variant>
        <vt:i4>5</vt:i4>
      </vt:variant>
      <vt:variant>
        <vt:lpwstr/>
      </vt:variant>
      <vt:variant>
        <vt:lpwstr>_Toc397349013</vt:lpwstr>
      </vt:variant>
      <vt:variant>
        <vt:i4>1376304</vt:i4>
      </vt:variant>
      <vt:variant>
        <vt:i4>149</vt:i4>
      </vt:variant>
      <vt:variant>
        <vt:i4>0</vt:i4>
      </vt:variant>
      <vt:variant>
        <vt:i4>5</vt:i4>
      </vt:variant>
      <vt:variant>
        <vt:lpwstr/>
      </vt:variant>
      <vt:variant>
        <vt:lpwstr>_Toc397349012</vt:lpwstr>
      </vt:variant>
      <vt:variant>
        <vt:i4>1376304</vt:i4>
      </vt:variant>
      <vt:variant>
        <vt:i4>146</vt:i4>
      </vt:variant>
      <vt:variant>
        <vt:i4>0</vt:i4>
      </vt:variant>
      <vt:variant>
        <vt:i4>5</vt:i4>
      </vt:variant>
      <vt:variant>
        <vt:lpwstr/>
      </vt:variant>
      <vt:variant>
        <vt:lpwstr>_Toc397349011</vt:lpwstr>
      </vt:variant>
      <vt:variant>
        <vt:i4>1376304</vt:i4>
      </vt:variant>
      <vt:variant>
        <vt:i4>143</vt:i4>
      </vt:variant>
      <vt:variant>
        <vt:i4>0</vt:i4>
      </vt:variant>
      <vt:variant>
        <vt:i4>5</vt:i4>
      </vt:variant>
      <vt:variant>
        <vt:lpwstr/>
      </vt:variant>
      <vt:variant>
        <vt:lpwstr>_Toc397349010</vt:lpwstr>
      </vt:variant>
      <vt:variant>
        <vt:i4>1310768</vt:i4>
      </vt:variant>
      <vt:variant>
        <vt:i4>140</vt:i4>
      </vt:variant>
      <vt:variant>
        <vt:i4>0</vt:i4>
      </vt:variant>
      <vt:variant>
        <vt:i4>5</vt:i4>
      </vt:variant>
      <vt:variant>
        <vt:lpwstr/>
      </vt:variant>
      <vt:variant>
        <vt:lpwstr>_Toc397349009</vt:lpwstr>
      </vt:variant>
      <vt:variant>
        <vt:i4>1310768</vt:i4>
      </vt:variant>
      <vt:variant>
        <vt:i4>137</vt:i4>
      </vt:variant>
      <vt:variant>
        <vt:i4>0</vt:i4>
      </vt:variant>
      <vt:variant>
        <vt:i4>5</vt:i4>
      </vt:variant>
      <vt:variant>
        <vt:lpwstr/>
      </vt:variant>
      <vt:variant>
        <vt:lpwstr>_Toc397349008</vt:lpwstr>
      </vt:variant>
      <vt:variant>
        <vt:i4>1310768</vt:i4>
      </vt:variant>
      <vt:variant>
        <vt:i4>134</vt:i4>
      </vt:variant>
      <vt:variant>
        <vt:i4>0</vt:i4>
      </vt:variant>
      <vt:variant>
        <vt:i4>5</vt:i4>
      </vt:variant>
      <vt:variant>
        <vt:lpwstr/>
      </vt:variant>
      <vt:variant>
        <vt:lpwstr>_Toc397349007</vt:lpwstr>
      </vt:variant>
      <vt:variant>
        <vt:i4>1310768</vt:i4>
      </vt:variant>
      <vt:variant>
        <vt:i4>131</vt:i4>
      </vt:variant>
      <vt:variant>
        <vt:i4>0</vt:i4>
      </vt:variant>
      <vt:variant>
        <vt:i4>5</vt:i4>
      </vt:variant>
      <vt:variant>
        <vt:lpwstr/>
      </vt:variant>
      <vt:variant>
        <vt:lpwstr>_Toc397349006</vt:lpwstr>
      </vt:variant>
      <vt:variant>
        <vt:i4>1310768</vt:i4>
      </vt:variant>
      <vt:variant>
        <vt:i4>128</vt:i4>
      </vt:variant>
      <vt:variant>
        <vt:i4>0</vt:i4>
      </vt:variant>
      <vt:variant>
        <vt:i4>5</vt:i4>
      </vt:variant>
      <vt:variant>
        <vt:lpwstr/>
      </vt:variant>
      <vt:variant>
        <vt:lpwstr>_Toc397349005</vt:lpwstr>
      </vt:variant>
      <vt:variant>
        <vt:i4>1310768</vt:i4>
      </vt:variant>
      <vt:variant>
        <vt:i4>125</vt:i4>
      </vt:variant>
      <vt:variant>
        <vt:i4>0</vt:i4>
      </vt:variant>
      <vt:variant>
        <vt:i4>5</vt:i4>
      </vt:variant>
      <vt:variant>
        <vt:lpwstr/>
      </vt:variant>
      <vt:variant>
        <vt:lpwstr>_Toc397349004</vt:lpwstr>
      </vt:variant>
      <vt:variant>
        <vt:i4>1310768</vt:i4>
      </vt:variant>
      <vt:variant>
        <vt:i4>122</vt:i4>
      </vt:variant>
      <vt:variant>
        <vt:i4>0</vt:i4>
      </vt:variant>
      <vt:variant>
        <vt:i4>5</vt:i4>
      </vt:variant>
      <vt:variant>
        <vt:lpwstr/>
      </vt:variant>
      <vt:variant>
        <vt:lpwstr>_Toc397349003</vt:lpwstr>
      </vt:variant>
      <vt:variant>
        <vt:i4>1310768</vt:i4>
      </vt:variant>
      <vt:variant>
        <vt:i4>119</vt:i4>
      </vt:variant>
      <vt:variant>
        <vt:i4>0</vt:i4>
      </vt:variant>
      <vt:variant>
        <vt:i4>5</vt:i4>
      </vt:variant>
      <vt:variant>
        <vt:lpwstr/>
      </vt:variant>
      <vt:variant>
        <vt:lpwstr>_Toc397349002</vt:lpwstr>
      </vt:variant>
      <vt:variant>
        <vt:i4>1310768</vt:i4>
      </vt:variant>
      <vt:variant>
        <vt:i4>116</vt:i4>
      </vt:variant>
      <vt:variant>
        <vt:i4>0</vt:i4>
      </vt:variant>
      <vt:variant>
        <vt:i4>5</vt:i4>
      </vt:variant>
      <vt:variant>
        <vt:lpwstr/>
      </vt:variant>
      <vt:variant>
        <vt:lpwstr>_Toc397349001</vt:lpwstr>
      </vt:variant>
      <vt:variant>
        <vt:i4>1310768</vt:i4>
      </vt:variant>
      <vt:variant>
        <vt:i4>113</vt:i4>
      </vt:variant>
      <vt:variant>
        <vt:i4>0</vt:i4>
      </vt:variant>
      <vt:variant>
        <vt:i4>5</vt:i4>
      </vt:variant>
      <vt:variant>
        <vt:lpwstr/>
      </vt:variant>
      <vt:variant>
        <vt:lpwstr>_Toc397349000</vt:lpwstr>
      </vt:variant>
      <vt:variant>
        <vt:i4>1835065</vt:i4>
      </vt:variant>
      <vt:variant>
        <vt:i4>110</vt:i4>
      </vt:variant>
      <vt:variant>
        <vt:i4>0</vt:i4>
      </vt:variant>
      <vt:variant>
        <vt:i4>5</vt:i4>
      </vt:variant>
      <vt:variant>
        <vt:lpwstr/>
      </vt:variant>
      <vt:variant>
        <vt:lpwstr>_Toc397348999</vt:lpwstr>
      </vt:variant>
      <vt:variant>
        <vt:i4>1835065</vt:i4>
      </vt:variant>
      <vt:variant>
        <vt:i4>107</vt:i4>
      </vt:variant>
      <vt:variant>
        <vt:i4>0</vt:i4>
      </vt:variant>
      <vt:variant>
        <vt:i4>5</vt:i4>
      </vt:variant>
      <vt:variant>
        <vt:lpwstr/>
      </vt:variant>
      <vt:variant>
        <vt:lpwstr>_Toc397348998</vt:lpwstr>
      </vt:variant>
      <vt:variant>
        <vt:i4>1835065</vt:i4>
      </vt:variant>
      <vt:variant>
        <vt:i4>104</vt:i4>
      </vt:variant>
      <vt:variant>
        <vt:i4>0</vt:i4>
      </vt:variant>
      <vt:variant>
        <vt:i4>5</vt:i4>
      </vt:variant>
      <vt:variant>
        <vt:lpwstr/>
      </vt:variant>
      <vt:variant>
        <vt:lpwstr>_Toc397348997</vt:lpwstr>
      </vt:variant>
      <vt:variant>
        <vt:i4>1835065</vt:i4>
      </vt:variant>
      <vt:variant>
        <vt:i4>101</vt:i4>
      </vt:variant>
      <vt:variant>
        <vt:i4>0</vt:i4>
      </vt:variant>
      <vt:variant>
        <vt:i4>5</vt:i4>
      </vt:variant>
      <vt:variant>
        <vt:lpwstr/>
      </vt:variant>
      <vt:variant>
        <vt:lpwstr>_Toc397348996</vt:lpwstr>
      </vt:variant>
      <vt:variant>
        <vt:i4>1835065</vt:i4>
      </vt:variant>
      <vt:variant>
        <vt:i4>98</vt:i4>
      </vt:variant>
      <vt:variant>
        <vt:i4>0</vt:i4>
      </vt:variant>
      <vt:variant>
        <vt:i4>5</vt:i4>
      </vt:variant>
      <vt:variant>
        <vt:lpwstr/>
      </vt:variant>
      <vt:variant>
        <vt:lpwstr>_Toc397348995</vt:lpwstr>
      </vt:variant>
      <vt:variant>
        <vt:i4>1835065</vt:i4>
      </vt:variant>
      <vt:variant>
        <vt:i4>95</vt:i4>
      </vt:variant>
      <vt:variant>
        <vt:i4>0</vt:i4>
      </vt:variant>
      <vt:variant>
        <vt:i4>5</vt:i4>
      </vt:variant>
      <vt:variant>
        <vt:lpwstr/>
      </vt:variant>
      <vt:variant>
        <vt:lpwstr>_Toc397348994</vt:lpwstr>
      </vt:variant>
      <vt:variant>
        <vt:i4>1835065</vt:i4>
      </vt:variant>
      <vt:variant>
        <vt:i4>92</vt:i4>
      </vt:variant>
      <vt:variant>
        <vt:i4>0</vt:i4>
      </vt:variant>
      <vt:variant>
        <vt:i4>5</vt:i4>
      </vt:variant>
      <vt:variant>
        <vt:lpwstr/>
      </vt:variant>
      <vt:variant>
        <vt:lpwstr>_Toc397348993</vt:lpwstr>
      </vt:variant>
      <vt:variant>
        <vt:i4>1835065</vt:i4>
      </vt:variant>
      <vt:variant>
        <vt:i4>89</vt:i4>
      </vt:variant>
      <vt:variant>
        <vt:i4>0</vt:i4>
      </vt:variant>
      <vt:variant>
        <vt:i4>5</vt:i4>
      </vt:variant>
      <vt:variant>
        <vt:lpwstr/>
      </vt:variant>
      <vt:variant>
        <vt:lpwstr>_Toc397348992</vt:lpwstr>
      </vt:variant>
      <vt:variant>
        <vt:i4>1835065</vt:i4>
      </vt:variant>
      <vt:variant>
        <vt:i4>86</vt:i4>
      </vt:variant>
      <vt:variant>
        <vt:i4>0</vt:i4>
      </vt:variant>
      <vt:variant>
        <vt:i4>5</vt:i4>
      </vt:variant>
      <vt:variant>
        <vt:lpwstr/>
      </vt:variant>
      <vt:variant>
        <vt:lpwstr>_Toc397348991</vt:lpwstr>
      </vt:variant>
      <vt:variant>
        <vt:i4>1835065</vt:i4>
      </vt:variant>
      <vt:variant>
        <vt:i4>83</vt:i4>
      </vt:variant>
      <vt:variant>
        <vt:i4>0</vt:i4>
      </vt:variant>
      <vt:variant>
        <vt:i4>5</vt:i4>
      </vt:variant>
      <vt:variant>
        <vt:lpwstr/>
      </vt:variant>
      <vt:variant>
        <vt:lpwstr>_Toc397348990</vt:lpwstr>
      </vt:variant>
      <vt:variant>
        <vt:i4>1900601</vt:i4>
      </vt:variant>
      <vt:variant>
        <vt:i4>80</vt:i4>
      </vt:variant>
      <vt:variant>
        <vt:i4>0</vt:i4>
      </vt:variant>
      <vt:variant>
        <vt:i4>5</vt:i4>
      </vt:variant>
      <vt:variant>
        <vt:lpwstr/>
      </vt:variant>
      <vt:variant>
        <vt:lpwstr>_Toc397348989</vt:lpwstr>
      </vt:variant>
      <vt:variant>
        <vt:i4>1900601</vt:i4>
      </vt:variant>
      <vt:variant>
        <vt:i4>77</vt:i4>
      </vt:variant>
      <vt:variant>
        <vt:i4>0</vt:i4>
      </vt:variant>
      <vt:variant>
        <vt:i4>5</vt:i4>
      </vt:variant>
      <vt:variant>
        <vt:lpwstr/>
      </vt:variant>
      <vt:variant>
        <vt:lpwstr>_Toc397348988</vt:lpwstr>
      </vt:variant>
      <vt:variant>
        <vt:i4>1900601</vt:i4>
      </vt:variant>
      <vt:variant>
        <vt:i4>74</vt:i4>
      </vt:variant>
      <vt:variant>
        <vt:i4>0</vt:i4>
      </vt:variant>
      <vt:variant>
        <vt:i4>5</vt:i4>
      </vt:variant>
      <vt:variant>
        <vt:lpwstr/>
      </vt:variant>
      <vt:variant>
        <vt:lpwstr>_Toc397348987</vt:lpwstr>
      </vt:variant>
      <vt:variant>
        <vt:i4>1900601</vt:i4>
      </vt:variant>
      <vt:variant>
        <vt:i4>71</vt:i4>
      </vt:variant>
      <vt:variant>
        <vt:i4>0</vt:i4>
      </vt:variant>
      <vt:variant>
        <vt:i4>5</vt:i4>
      </vt:variant>
      <vt:variant>
        <vt:lpwstr/>
      </vt:variant>
      <vt:variant>
        <vt:lpwstr>_Toc397348986</vt:lpwstr>
      </vt:variant>
      <vt:variant>
        <vt:i4>1900601</vt:i4>
      </vt:variant>
      <vt:variant>
        <vt:i4>68</vt:i4>
      </vt:variant>
      <vt:variant>
        <vt:i4>0</vt:i4>
      </vt:variant>
      <vt:variant>
        <vt:i4>5</vt:i4>
      </vt:variant>
      <vt:variant>
        <vt:lpwstr/>
      </vt:variant>
      <vt:variant>
        <vt:lpwstr>_Toc397348985</vt:lpwstr>
      </vt:variant>
      <vt:variant>
        <vt:i4>1900601</vt:i4>
      </vt:variant>
      <vt:variant>
        <vt:i4>65</vt:i4>
      </vt:variant>
      <vt:variant>
        <vt:i4>0</vt:i4>
      </vt:variant>
      <vt:variant>
        <vt:i4>5</vt:i4>
      </vt:variant>
      <vt:variant>
        <vt:lpwstr/>
      </vt:variant>
      <vt:variant>
        <vt:lpwstr>_Toc397348984</vt:lpwstr>
      </vt:variant>
      <vt:variant>
        <vt:i4>1900601</vt:i4>
      </vt:variant>
      <vt:variant>
        <vt:i4>62</vt:i4>
      </vt:variant>
      <vt:variant>
        <vt:i4>0</vt:i4>
      </vt:variant>
      <vt:variant>
        <vt:i4>5</vt:i4>
      </vt:variant>
      <vt:variant>
        <vt:lpwstr/>
      </vt:variant>
      <vt:variant>
        <vt:lpwstr>_Toc397348983</vt:lpwstr>
      </vt:variant>
      <vt:variant>
        <vt:i4>1900601</vt:i4>
      </vt:variant>
      <vt:variant>
        <vt:i4>59</vt:i4>
      </vt:variant>
      <vt:variant>
        <vt:i4>0</vt:i4>
      </vt:variant>
      <vt:variant>
        <vt:i4>5</vt:i4>
      </vt:variant>
      <vt:variant>
        <vt:lpwstr/>
      </vt:variant>
      <vt:variant>
        <vt:lpwstr>_Toc397348982</vt:lpwstr>
      </vt:variant>
      <vt:variant>
        <vt:i4>1900601</vt:i4>
      </vt:variant>
      <vt:variant>
        <vt:i4>56</vt:i4>
      </vt:variant>
      <vt:variant>
        <vt:i4>0</vt:i4>
      </vt:variant>
      <vt:variant>
        <vt:i4>5</vt:i4>
      </vt:variant>
      <vt:variant>
        <vt:lpwstr/>
      </vt:variant>
      <vt:variant>
        <vt:lpwstr>_Toc397348981</vt:lpwstr>
      </vt:variant>
      <vt:variant>
        <vt:i4>1900601</vt:i4>
      </vt:variant>
      <vt:variant>
        <vt:i4>53</vt:i4>
      </vt:variant>
      <vt:variant>
        <vt:i4>0</vt:i4>
      </vt:variant>
      <vt:variant>
        <vt:i4>5</vt:i4>
      </vt:variant>
      <vt:variant>
        <vt:lpwstr/>
      </vt:variant>
      <vt:variant>
        <vt:lpwstr>_Toc397348980</vt:lpwstr>
      </vt:variant>
      <vt:variant>
        <vt:i4>1179705</vt:i4>
      </vt:variant>
      <vt:variant>
        <vt:i4>50</vt:i4>
      </vt:variant>
      <vt:variant>
        <vt:i4>0</vt:i4>
      </vt:variant>
      <vt:variant>
        <vt:i4>5</vt:i4>
      </vt:variant>
      <vt:variant>
        <vt:lpwstr/>
      </vt:variant>
      <vt:variant>
        <vt:lpwstr>_Toc397348979</vt:lpwstr>
      </vt:variant>
      <vt:variant>
        <vt:i4>1179705</vt:i4>
      </vt:variant>
      <vt:variant>
        <vt:i4>47</vt:i4>
      </vt:variant>
      <vt:variant>
        <vt:i4>0</vt:i4>
      </vt:variant>
      <vt:variant>
        <vt:i4>5</vt:i4>
      </vt:variant>
      <vt:variant>
        <vt:lpwstr/>
      </vt:variant>
      <vt:variant>
        <vt:lpwstr>_Toc397348978</vt:lpwstr>
      </vt:variant>
      <vt:variant>
        <vt:i4>1179705</vt:i4>
      </vt:variant>
      <vt:variant>
        <vt:i4>44</vt:i4>
      </vt:variant>
      <vt:variant>
        <vt:i4>0</vt:i4>
      </vt:variant>
      <vt:variant>
        <vt:i4>5</vt:i4>
      </vt:variant>
      <vt:variant>
        <vt:lpwstr/>
      </vt:variant>
      <vt:variant>
        <vt:lpwstr>_Toc397348977</vt:lpwstr>
      </vt:variant>
      <vt:variant>
        <vt:i4>1179705</vt:i4>
      </vt:variant>
      <vt:variant>
        <vt:i4>41</vt:i4>
      </vt:variant>
      <vt:variant>
        <vt:i4>0</vt:i4>
      </vt:variant>
      <vt:variant>
        <vt:i4>5</vt:i4>
      </vt:variant>
      <vt:variant>
        <vt:lpwstr/>
      </vt:variant>
      <vt:variant>
        <vt:lpwstr>_Toc397348976</vt:lpwstr>
      </vt:variant>
      <vt:variant>
        <vt:i4>1179705</vt:i4>
      </vt:variant>
      <vt:variant>
        <vt:i4>38</vt:i4>
      </vt:variant>
      <vt:variant>
        <vt:i4>0</vt:i4>
      </vt:variant>
      <vt:variant>
        <vt:i4>5</vt:i4>
      </vt:variant>
      <vt:variant>
        <vt:lpwstr/>
      </vt:variant>
      <vt:variant>
        <vt:lpwstr>_Toc397348975</vt:lpwstr>
      </vt:variant>
      <vt:variant>
        <vt:i4>1179705</vt:i4>
      </vt:variant>
      <vt:variant>
        <vt:i4>35</vt:i4>
      </vt:variant>
      <vt:variant>
        <vt:i4>0</vt:i4>
      </vt:variant>
      <vt:variant>
        <vt:i4>5</vt:i4>
      </vt:variant>
      <vt:variant>
        <vt:lpwstr/>
      </vt:variant>
      <vt:variant>
        <vt:lpwstr>_Toc397348974</vt:lpwstr>
      </vt:variant>
      <vt:variant>
        <vt:i4>1179705</vt:i4>
      </vt:variant>
      <vt:variant>
        <vt:i4>32</vt:i4>
      </vt:variant>
      <vt:variant>
        <vt:i4>0</vt:i4>
      </vt:variant>
      <vt:variant>
        <vt:i4>5</vt:i4>
      </vt:variant>
      <vt:variant>
        <vt:lpwstr/>
      </vt:variant>
      <vt:variant>
        <vt:lpwstr>_Toc397348973</vt:lpwstr>
      </vt:variant>
      <vt:variant>
        <vt:i4>1179705</vt:i4>
      </vt:variant>
      <vt:variant>
        <vt:i4>29</vt:i4>
      </vt:variant>
      <vt:variant>
        <vt:i4>0</vt:i4>
      </vt:variant>
      <vt:variant>
        <vt:i4>5</vt:i4>
      </vt:variant>
      <vt:variant>
        <vt:lpwstr/>
      </vt:variant>
      <vt:variant>
        <vt:lpwstr>_Toc397348972</vt:lpwstr>
      </vt:variant>
      <vt:variant>
        <vt:i4>1179705</vt:i4>
      </vt:variant>
      <vt:variant>
        <vt:i4>26</vt:i4>
      </vt:variant>
      <vt:variant>
        <vt:i4>0</vt:i4>
      </vt:variant>
      <vt:variant>
        <vt:i4>5</vt:i4>
      </vt:variant>
      <vt:variant>
        <vt:lpwstr/>
      </vt:variant>
      <vt:variant>
        <vt:lpwstr>_Toc397348971</vt:lpwstr>
      </vt:variant>
      <vt:variant>
        <vt:i4>1179705</vt:i4>
      </vt:variant>
      <vt:variant>
        <vt:i4>23</vt:i4>
      </vt:variant>
      <vt:variant>
        <vt:i4>0</vt:i4>
      </vt:variant>
      <vt:variant>
        <vt:i4>5</vt:i4>
      </vt:variant>
      <vt:variant>
        <vt:lpwstr/>
      </vt:variant>
      <vt:variant>
        <vt:lpwstr>_Toc397348970</vt:lpwstr>
      </vt:variant>
      <vt:variant>
        <vt:i4>1245241</vt:i4>
      </vt:variant>
      <vt:variant>
        <vt:i4>20</vt:i4>
      </vt:variant>
      <vt:variant>
        <vt:i4>0</vt:i4>
      </vt:variant>
      <vt:variant>
        <vt:i4>5</vt:i4>
      </vt:variant>
      <vt:variant>
        <vt:lpwstr/>
      </vt:variant>
      <vt:variant>
        <vt:lpwstr>_Toc397348969</vt:lpwstr>
      </vt:variant>
      <vt:variant>
        <vt:i4>1245241</vt:i4>
      </vt:variant>
      <vt:variant>
        <vt:i4>17</vt:i4>
      </vt:variant>
      <vt:variant>
        <vt:i4>0</vt:i4>
      </vt:variant>
      <vt:variant>
        <vt:i4>5</vt:i4>
      </vt:variant>
      <vt:variant>
        <vt:lpwstr/>
      </vt:variant>
      <vt:variant>
        <vt:lpwstr>_Toc397348968</vt:lpwstr>
      </vt:variant>
      <vt:variant>
        <vt:i4>1245241</vt:i4>
      </vt:variant>
      <vt:variant>
        <vt:i4>14</vt:i4>
      </vt:variant>
      <vt:variant>
        <vt:i4>0</vt:i4>
      </vt:variant>
      <vt:variant>
        <vt:i4>5</vt:i4>
      </vt:variant>
      <vt:variant>
        <vt:lpwstr/>
      </vt:variant>
      <vt:variant>
        <vt:lpwstr>_Toc397348967</vt:lpwstr>
      </vt:variant>
      <vt:variant>
        <vt:i4>1245241</vt:i4>
      </vt:variant>
      <vt:variant>
        <vt:i4>11</vt:i4>
      </vt:variant>
      <vt:variant>
        <vt:i4>0</vt:i4>
      </vt:variant>
      <vt:variant>
        <vt:i4>5</vt:i4>
      </vt:variant>
      <vt:variant>
        <vt:lpwstr/>
      </vt:variant>
      <vt:variant>
        <vt:lpwstr>_Toc397348966</vt:lpwstr>
      </vt:variant>
      <vt:variant>
        <vt:i4>1245241</vt:i4>
      </vt:variant>
      <vt:variant>
        <vt:i4>8</vt:i4>
      </vt:variant>
      <vt:variant>
        <vt:i4>0</vt:i4>
      </vt:variant>
      <vt:variant>
        <vt:i4>5</vt:i4>
      </vt:variant>
      <vt:variant>
        <vt:lpwstr/>
      </vt:variant>
      <vt:variant>
        <vt:lpwstr>_Toc397348965</vt:lpwstr>
      </vt:variant>
      <vt:variant>
        <vt:i4>1245241</vt:i4>
      </vt:variant>
      <vt:variant>
        <vt:i4>5</vt:i4>
      </vt:variant>
      <vt:variant>
        <vt:i4>0</vt:i4>
      </vt:variant>
      <vt:variant>
        <vt:i4>5</vt:i4>
      </vt:variant>
      <vt:variant>
        <vt:lpwstr/>
      </vt:variant>
      <vt:variant>
        <vt:lpwstr>_Toc397348964</vt:lpwstr>
      </vt:variant>
      <vt:variant>
        <vt:i4>1245241</vt:i4>
      </vt:variant>
      <vt:variant>
        <vt:i4>2</vt:i4>
      </vt:variant>
      <vt:variant>
        <vt:i4>0</vt:i4>
      </vt:variant>
      <vt:variant>
        <vt:i4>5</vt:i4>
      </vt:variant>
      <vt:variant>
        <vt:lpwstr/>
      </vt:variant>
      <vt:variant>
        <vt:lpwstr>_Toc397348963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and Valuation Division Supplementary Rules 2014</dc:title>
  <dc:subject/>
  <cp:keywords/>
  <dc:description>Current to 1 December 2015 - Amendment #1</dc:description>
  <cp:lastModifiedBy>Wendy Pfoertsch</cp:lastModifiedBy>
  <cp:revision>4</cp:revision>
  <cp:lastPrinted>2014-04-14T07:04:00Z</cp:lastPrinted>
  <dcterms:created xsi:type="dcterms:W3CDTF">2015-09-30T05:11:00Z</dcterms:created>
  <dcterms:modified xsi:type="dcterms:W3CDTF">2015-10-28T22:51:00Z</dcterms:modified>
  <cp:contentStatus>Current to 1 December 2015 - Amendment #1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A148625</vt:lpwstr>
  </property>
  <property fmtid="{D5CDD505-2E9C-101B-9397-08002B2CF9AE}" pid="3" name="Objective-Title">
    <vt:lpwstr>Land and Valuation Division Supplementary Rules 2014 excl Schedule - Approved Forms</vt:lpwstr>
  </property>
  <property fmtid="{D5CDD505-2E9C-101B-9397-08002B2CF9AE}" pid="4" name="Objective-Comment">
    <vt:lpwstr/>
  </property>
  <property fmtid="{D5CDD505-2E9C-101B-9397-08002B2CF9AE}" pid="5" name="Objective-CreationStamp">
    <vt:filetime>2014-09-05T05:00:34Z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2014-09-22T01:38:26Z</vt:filetime>
  </property>
  <property fmtid="{D5CDD505-2E9C-101B-9397-08002B2CF9AE}" pid="9" name="Objective-ModificationStamp">
    <vt:filetime>2015-04-02T05:52:46Z</vt:filetime>
  </property>
  <property fmtid="{D5CDD505-2E9C-101B-9397-08002B2CF9AE}" pid="10" name="Objective-Owner">
    <vt:lpwstr>Wendy Pfoertsch</vt:lpwstr>
  </property>
  <property fmtid="{D5CDD505-2E9C-101B-9397-08002B2CF9AE}" pid="11" name="Objective-Path">
    <vt:lpwstr>Objective Global Folder:_ SUPREME COURT:COURT RULES &amp; PRACTICE DIRECTIONS:Rules of Court:Rules of Court - Supreme Court - Current:Land and Valuation Division Supplementary Rules 2014:Master Copies - Land and Valuation Division Supplementary Rules 2014 exc</vt:lpwstr>
  </property>
  <property fmtid="{D5CDD505-2E9C-101B-9397-08002B2CF9AE}" pid="12" name="Objective-Parent">
    <vt:lpwstr>Master Copies - Land and Valuation Division Supplementary Rules 2014 excluding Schedule - Approved Forms</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CRF2014/00145</vt:lpwstr>
  </property>
  <property fmtid="{D5CDD505-2E9C-101B-9397-08002B2CF9AE}" pid="18" name="Objective-Classification">
    <vt:lpwstr>[Inherited - none]</vt:lpwstr>
  </property>
  <property fmtid="{D5CDD505-2E9C-101B-9397-08002B2CF9AE}" pid="19" name="Objective-Caveats">
    <vt:lpwstr/>
  </property>
</Properties>
</file>